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80"/>
        <w:widowControl/>
      </w:pPr>
      <w:r>
        <w:rPr>
          <w:rFonts w:ascii="Calibri" w:hAnsi="Calibri" w:eastAsia="Calibri"/>
          <w:b/>
          <w:i w:val="0"/>
          <w:color w:val="2E74B5"/>
          <w:sz w:val="20"/>
        </w:rPr>
        <w:t>FUNDACJA QUANTUM AI</w:t>
      </w:r>
    </w:p>
    <w:tbl>
      <w:tblPr>
        <w:tblW w:type="auto" w:w="0"/>
        <w:jc w:val="left"/>
        <w:tblLayout w:type="fixed"/>
        <w:tblLook w:firstColumn="1" w:firstRow="1" w:lastColumn="0" w:lastRow="0" w:noHBand="0" w:noVBand="1" w:val="04A0"/>
      </w:tblPr>
      <w:tblGrid>
        <w:gridCol w:w="1656"/>
      </w:tblGrid>
      <w:tr>
        <w:trPr>
          <w:trHeight w:val="120"/>
        </w:trPr>
        <w:tc>
          <w:tcPr>
            <w:tcW w:type="dxa" w:w="1656"/>
            <w:shd w:fill="2E74B5"/>
            <w:tcMar>
              <w:top w:w="45" w:type="dxa"/>
              <w:start w:w="0" w:type="dxa"/>
              <w:bottom w:w="45" w:type="dxa"/>
              <w:end w:w="0" w:type="dxa"/>
            </w:tcMar>
          </w:tcPr>
          <w:p>
            <w:r/>
          </w:p>
        </w:tc>
      </w:tr>
    </w:tbl>
    <w:p>
      <w:pPr>
        <w:pStyle w:val="Title"/>
        <w:spacing w:before="400" w:after="160"/>
        <w:widowControl/>
      </w:pPr>
      <w:r>
        <w:rPr>
          <w:rFonts w:ascii="Calibri" w:hAnsi="Calibri" w:eastAsia="Calibri"/>
          <w:b/>
          <w:i w:val="0"/>
          <w:color w:val="17365D"/>
          <w:sz w:val="60"/>
        </w:rPr>
        <w:t>Regulamin Olimpiady Kwantowej</w:t>
      </w:r>
    </w:p>
    <w:p>
      <w:pPr>
        <w:spacing w:after="680"/>
        <w:widowControl/>
      </w:pPr>
      <w:r>
        <w:rPr>
          <w:rFonts w:ascii="Calibri" w:hAnsi="Calibri" w:eastAsia="Calibri"/>
          <w:b w:val="0"/>
          <w:i w:val="0"/>
          <w:color w:val="56616F"/>
          <w:sz w:val="30"/>
        </w:rPr>
        <w:t>Ogólnopolski, dwuetapowy konkurs edukacyjny</w:t>
      </w:r>
    </w:p>
    <w:tbl>
      <w:tblPr>
        <w:tblW w:type="auto" w:w="0"/>
        <w:jc w:val="left"/>
        <w:tblLayout w:type="fixed"/>
        <w:tblLook w:firstColumn="1" w:firstRow="1" w:lastColumn="0" w:lastRow="0" w:noHBand="0" w:noVBand="1" w:val="04A0"/>
      </w:tblPr>
      <w:tblGrid>
        <w:gridCol w:w="2160"/>
        <w:gridCol w:w="7200"/>
      </w:tblGrid>
      <w:tr>
        <w:tc>
          <w:tcPr>
            <w:tcW w:type="dxa" w:w="4680"/>
            <w:tcMar>
              <w:top w:w="130" w:type="dxa"/>
              <w:start w:w="160" w:type="dxa"/>
              <w:bottom w:w="130" w:type="dxa"/>
              <w:end w:w="160" w:type="dxa"/>
            </w:tcMar>
            <w:vAlign w:val="center"/>
            <w:shd w:fill="DCE6F1"/>
          </w:tcPr>
          <w:p>
            <w:pPr>
              <w:spacing w:after="0"/>
            </w:pPr>
            <w:r>
              <w:rPr>
                <w:rFonts w:ascii="Calibri" w:hAnsi="Calibri" w:eastAsia="Calibri"/>
                <w:b/>
                <w:i w:val="0"/>
                <w:color w:val="17365D"/>
                <w:sz w:val="19"/>
              </w:rPr>
              <w:t>Wersja</w:t>
            </w:r>
          </w:p>
        </w:tc>
        <w:tc>
          <w:tcPr>
            <w:tcW w:type="dxa" w:w="4680"/>
            <w:tcMar>
              <w:top w:w="130" w:type="dxa"/>
              <w:start w:w="160" w:type="dxa"/>
              <w:bottom w:w="130" w:type="dxa"/>
              <w:end w:w="160" w:type="dxa"/>
            </w:tcMar>
            <w:vAlign w:val="center"/>
            <w:shd w:fill="F2F4F7"/>
          </w:tcPr>
          <w:p>
            <w:pPr>
              <w:spacing w:after="0"/>
            </w:pPr>
            <w:r>
              <w:rPr>
                <w:rFonts w:ascii="Calibri" w:hAnsi="Calibri" w:eastAsia="Calibri"/>
                <w:b w:val="0"/>
                <w:i w:val="0"/>
                <w:color w:val="20262E"/>
                <w:sz w:val="19"/>
              </w:rPr>
              <w:t>1.0</w:t>
            </w:r>
          </w:p>
        </w:tc>
      </w:tr>
      <w:tr>
        <w:tc>
          <w:tcPr>
            <w:tcW w:type="dxa" w:w="4680"/>
            <w:tcMar>
              <w:top w:w="130" w:type="dxa"/>
              <w:start w:w="160" w:type="dxa"/>
              <w:bottom w:w="130" w:type="dxa"/>
              <w:end w:w="160" w:type="dxa"/>
            </w:tcMar>
            <w:vAlign w:val="center"/>
            <w:shd w:fill="DCE6F1"/>
          </w:tcPr>
          <w:p>
            <w:pPr>
              <w:spacing w:after="0"/>
            </w:pPr>
            <w:r>
              <w:rPr>
                <w:rFonts w:ascii="Calibri" w:hAnsi="Calibri" w:eastAsia="Calibri"/>
                <w:b/>
                <w:i w:val="0"/>
                <w:color w:val="17365D"/>
                <w:sz w:val="19"/>
              </w:rPr>
              <w:t>Data dokumentu</w:t>
            </w:r>
          </w:p>
        </w:tc>
        <w:tc>
          <w:tcPr>
            <w:tcW w:type="dxa" w:w="4680"/>
            <w:tcMar>
              <w:top w:w="130" w:type="dxa"/>
              <w:start w:w="160" w:type="dxa"/>
              <w:bottom w:w="130" w:type="dxa"/>
              <w:end w:w="160" w:type="dxa"/>
            </w:tcMar>
            <w:vAlign w:val="center"/>
            <w:shd w:fill="FFFFFF"/>
          </w:tcPr>
          <w:p>
            <w:pPr>
              <w:spacing w:after="0"/>
            </w:pPr>
            <w:r>
              <w:rPr>
                <w:rFonts w:ascii="Calibri" w:hAnsi="Calibri" w:eastAsia="Calibri"/>
                <w:b w:val="0"/>
                <w:i w:val="0"/>
                <w:color w:val="20262E"/>
                <w:sz w:val="19"/>
              </w:rPr>
              <w:t>18 sierpnia 2026 r.</w:t>
            </w:r>
          </w:p>
        </w:tc>
      </w:tr>
      <w:tr>
        <w:tc>
          <w:tcPr>
            <w:tcW w:type="dxa" w:w="4680"/>
            <w:tcMar>
              <w:top w:w="130" w:type="dxa"/>
              <w:start w:w="160" w:type="dxa"/>
              <w:bottom w:w="130" w:type="dxa"/>
              <w:end w:w="160" w:type="dxa"/>
            </w:tcMar>
            <w:vAlign w:val="center"/>
            <w:shd w:fill="DCE6F1"/>
          </w:tcPr>
          <w:p>
            <w:pPr>
              <w:spacing w:after="0"/>
            </w:pPr>
            <w:r>
              <w:rPr>
                <w:rFonts w:ascii="Calibri" w:hAnsi="Calibri" w:eastAsia="Calibri"/>
                <w:b/>
                <w:i w:val="0"/>
                <w:color w:val="17365D"/>
                <w:sz w:val="19"/>
              </w:rPr>
              <w:t>Status</w:t>
            </w:r>
          </w:p>
        </w:tc>
        <w:tc>
          <w:tcPr>
            <w:tcW w:type="dxa" w:w="4680"/>
            <w:tcMar>
              <w:top w:w="130" w:type="dxa"/>
              <w:start w:w="160" w:type="dxa"/>
              <w:bottom w:w="130" w:type="dxa"/>
              <w:end w:w="160" w:type="dxa"/>
            </w:tcMar>
            <w:vAlign w:val="center"/>
            <w:shd w:fill="F2F4F7"/>
          </w:tcPr>
          <w:p>
            <w:pPr>
              <w:spacing w:after="0"/>
            </w:pPr>
            <w:r>
              <w:rPr>
                <w:rFonts w:ascii="Calibri" w:hAnsi="Calibri" w:eastAsia="Calibri"/>
                <w:b/>
                <w:i w:val="0"/>
                <w:color w:val="20262E"/>
                <w:sz w:val="19"/>
              </w:rPr>
              <w:t>Projekt do zatwierdzenia uchwałą Zarządu Fundacji Quantum AI</w:t>
            </w:r>
          </w:p>
        </w:tc>
      </w:tr>
    </w:tbl>
    <w:p>
      <w:pPr>
        <w:spacing w:before="560" w:after="100"/>
        <w:widowControl/>
      </w:pPr>
      <w:r>
        <w:rPr>
          <w:rFonts w:ascii="Calibri" w:hAnsi="Calibri" w:eastAsia="Calibri"/>
          <w:b/>
          <w:i w:val="0"/>
          <w:color w:val="2E74B5"/>
          <w:sz w:val="19"/>
        </w:rPr>
        <w:t>WAŻNY STATUS PRAWNY</w:t>
      </w:r>
    </w:p>
    <w:p>
      <w:pPr>
        <w:spacing w:after="0"/>
        <w:keepLines/>
        <w:widowControl/>
      </w:pPr>
      <w:r>
        <w:rPr>
          <w:rFonts w:ascii="Calibri" w:hAnsi="Calibri" w:eastAsia="Calibri"/>
          <w:b w:val="0"/>
          <w:i w:val="0"/>
          <w:color w:val="56616F"/>
          <w:sz w:val="19"/>
        </w:rPr>
        <w:t>Olimpiada Kwantowa w opisanym niżej modelu dwóch etapów jest niezależnym konkursem edukacyjnym. Nie jest olimpiadą trójstopniową przeprowadzaną na podstawie rozporządzenia Ministra Edukacji i nie nadaje ustawowych uprawnień laureata lub finalisty, dopóki nie zostanie formalnie objęta właściwym trybem prawnym, a jej regulamin nie zostanie odpowiednio dostosowany.</w:t>
      </w:r>
    </w:p>
    <w:p>
      <w:pPr>
        <w:spacing w:before="600" w:after="0"/>
        <w:widowControl/>
      </w:pPr>
      <w:r>
        <w:rPr>
          <w:rFonts w:ascii="Calibri" w:hAnsi="Calibri" w:eastAsia="Calibri"/>
          <w:b w:val="0"/>
          <w:i/>
          <w:color w:val="56616F"/>
          <w:sz w:val="17"/>
        </w:rPr>
        <w:t>Dokument przygotowany do zatwierdzenia uchwałą Zarządu Organizatora.</w:t>
      </w:r>
    </w:p>
    <w:p>
      <w:pPr>
        <w:sectPr>
          <w:pgSz w:w="12240" w:h="15840"/>
          <w:pgMar w:top="1224" w:right="1440" w:bottom="1080" w:left="1440" w:header="547" w:footer="547" w:gutter="0"/>
          <w:cols w:space="720"/>
          <w:docGrid w:linePitch="360"/>
        </w:sectPr>
        <w:widowControl/>
      </w:pPr>
    </w:p>
    <w:p>
      <w:pPr>
        <w:pStyle w:val="Heading1"/>
        <w:keepNext/>
        <w:keepLines/>
        <w:widowControl/>
      </w:pPr>
      <w:r>
        <w:t>Spis rozdziałów</w:t>
      </w:r>
    </w:p>
    <w:p>
      <w:pPr>
        <w:numPr>
          <w:ilvl w:val="0"/>
          <w:numId w:val="10"/>
        </w:numPr>
        <w:pStyle w:val="RegulationBullet"/>
        <w:spacing w:after="140"/>
        <w:keepLines/>
        <w:widowControl/>
      </w:pPr>
      <w:r>
        <w:rPr>
          <w:rFonts w:ascii="Calibri" w:hAnsi="Calibri" w:eastAsia="Calibri"/>
          <w:b/>
          <w:i w:val="0"/>
          <w:color w:val="17365D"/>
          <w:sz w:val="22"/>
        </w:rPr>
        <w:t>Rozdział I. Postanowienia ogólne</w:t>
      </w:r>
    </w:p>
    <w:p>
      <w:pPr>
        <w:numPr>
          <w:ilvl w:val="0"/>
          <w:numId w:val="10"/>
        </w:numPr>
        <w:pStyle w:val="RegulationBullet"/>
        <w:spacing w:after="140"/>
        <w:keepLines/>
        <w:widowControl/>
      </w:pPr>
      <w:r>
        <w:rPr>
          <w:rFonts w:ascii="Calibri" w:hAnsi="Calibri" w:eastAsia="Calibri"/>
          <w:b/>
          <w:i w:val="0"/>
          <w:color w:val="17365D"/>
          <w:sz w:val="22"/>
        </w:rPr>
        <w:t>Rozdział II. Uczestnicy</w:t>
      </w:r>
    </w:p>
    <w:p>
      <w:pPr>
        <w:numPr>
          <w:ilvl w:val="0"/>
          <w:numId w:val="10"/>
        </w:numPr>
        <w:pStyle w:val="RegulationBullet"/>
        <w:spacing w:after="140"/>
        <w:keepLines/>
        <w:widowControl/>
      </w:pPr>
      <w:r>
        <w:rPr>
          <w:rFonts w:ascii="Calibri" w:hAnsi="Calibri" w:eastAsia="Calibri"/>
          <w:b/>
          <w:i w:val="0"/>
          <w:color w:val="17365D"/>
          <w:sz w:val="22"/>
        </w:rPr>
        <w:t>Rozdział III. Organy Olimpiady</w:t>
      </w:r>
    </w:p>
    <w:p>
      <w:pPr>
        <w:numPr>
          <w:ilvl w:val="0"/>
          <w:numId w:val="10"/>
        </w:numPr>
        <w:pStyle w:val="RegulationBullet"/>
        <w:spacing w:after="140"/>
        <w:keepLines/>
        <w:widowControl/>
      </w:pPr>
      <w:r>
        <w:rPr>
          <w:rFonts w:ascii="Calibri" w:hAnsi="Calibri" w:eastAsia="Calibri"/>
          <w:b/>
          <w:i w:val="0"/>
          <w:color w:val="17365D"/>
          <w:sz w:val="22"/>
        </w:rPr>
        <w:t>Rozdział IV. Zadania i zasady oceniania</w:t>
      </w:r>
    </w:p>
    <w:p>
      <w:pPr>
        <w:numPr>
          <w:ilvl w:val="0"/>
          <w:numId w:val="10"/>
        </w:numPr>
        <w:pStyle w:val="RegulationBullet"/>
        <w:spacing w:after="140"/>
        <w:keepLines/>
        <w:widowControl/>
      </w:pPr>
      <w:r>
        <w:rPr>
          <w:rFonts w:ascii="Calibri" w:hAnsi="Calibri" w:eastAsia="Calibri"/>
          <w:b/>
          <w:i w:val="0"/>
          <w:color w:val="17365D"/>
          <w:sz w:val="22"/>
        </w:rPr>
        <w:t>Rozdział V. Przebieg zawodów</w:t>
      </w:r>
    </w:p>
    <w:p>
      <w:pPr>
        <w:numPr>
          <w:ilvl w:val="0"/>
          <w:numId w:val="10"/>
        </w:numPr>
        <w:pStyle w:val="RegulationBullet"/>
        <w:spacing w:after="140"/>
        <w:keepLines/>
        <w:widowControl/>
      </w:pPr>
      <w:r>
        <w:rPr>
          <w:rFonts w:ascii="Calibri" w:hAnsi="Calibri" w:eastAsia="Calibri"/>
          <w:b/>
          <w:i w:val="0"/>
          <w:color w:val="17365D"/>
          <w:sz w:val="22"/>
        </w:rPr>
        <w:t>Rozdział VI. Wyniki, tytuły i odwołania</w:t>
      </w:r>
    </w:p>
    <w:p>
      <w:pPr>
        <w:numPr>
          <w:ilvl w:val="0"/>
          <w:numId w:val="10"/>
        </w:numPr>
        <w:pStyle w:val="RegulationBullet"/>
        <w:spacing w:after="140"/>
        <w:keepLines/>
        <w:widowControl/>
      </w:pPr>
      <w:r>
        <w:rPr>
          <w:rFonts w:ascii="Calibri" w:hAnsi="Calibri" w:eastAsia="Calibri"/>
          <w:b/>
          <w:i w:val="0"/>
          <w:color w:val="17365D"/>
          <w:sz w:val="22"/>
        </w:rPr>
        <w:t>Rozdział VII. Uczciwość i bezpieczeństwo</w:t>
      </w:r>
    </w:p>
    <w:p>
      <w:pPr>
        <w:numPr>
          <w:ilvl w:val="0"/>
          <w:numId w:val="10"/>
        </w:numPr>
        <w:pStyle w:val="RegulationBullet"/>
        <w:spacing w:after="140"/>
        <w:keepLines/>
        <w:widowControl/>
      </w:pPr>
      <w:r>
        <w:rPr>
          <w:rFonts w:ascii="Calibri" w:hAnsi="Calibri" w:eastAsia="Calibri"/>
          <w:b/>
          <w:i w:val="0"/>
          <w:color w:val="17365D"/>
          <w:sz w:val="22"/>
        </w:rPr>
        <w:t>Rozdział VIII. Dane, prawa autorskie i dokumentacja</w:t>
      </w:r>
    </w:p>
    <w:p>
      <w:pPr>
        <w:numPr>
          <w:ilvl w:val="0"/>
          <w:numId w:val="10"/>
        </w:numPr>
        <w:pStyle w:val="RegulationBullet"/>
        <w:spacing w:after="140"/>
        <w:keepLines/>
        <w:widowControl/>
      </w:pPr>
      <w:r>
        <w:rPr>
          <w:rFonts w:ascii="Calibri" w:hAnsi="Calibri" w:eastAsia="Calibri"/>
          <w:b/>
          <w:i w:val="0"/>
          <w:color w:val="17365D"/>
          <w:sz w:val="22"/>
        </w:rPr>
        <w:t>Rozdział IX. Finansowanie i sytuacje nadzwyczajne</w:t>
      </w:r>
    </w:p>
    <w:p>
      <w:pPr>
        <w:numPr>
          <w:ilvl w:val="0"/>
          <w:numId w:val="10"/>
        </w:numPr>
        <w:pStyle w:val="RegulationBullet"/>
        <w:spacing w:after="140"/>
        <w:keepLines/>
        <w:widowControl/>
      </w:pPr>
      <w:r>
        <w:rPr>
          <w:rFonts w:ascii="Calibri" w:hAnsi="Calibri" w:eastAsia="Calibri"/>
          <w:b/>
          <w:i w:val="0"/>
          <w:color w:val="17365D"/>
          <w:sz w:val="22"/>
        </w:rPr>
        <w:t>Rozdział X. Postanowienia końcowe</w:t>
      </w:r>
    </w:p>
    <w:p>
      <w:pPr>
        <w:spacing w:before="200" w:after="0"/>
        <w:widowControl/>
      </w:pPr>
      <w:r>
        <w:rPr>
          <w:rFonts w:ascii="Calibri" w:hAnsi="Calibri" w:eastAsia="Calibri"/>
          <w:b w:val="0"/>
          <w:i/>
          <w:color w:val="56616F"/>
          <w:sz w:val="17"/>
        </w:rPr>
        <w:t>Dokument obejmuje 24 paragrafy. Numery stron są widoczne w stopce, a pełne tytuły paragrafów znajdują się bezpośrednio w treści.</w:t>
      </w:r>
    </w:p>
    <w:p>
      <w:pPr>
        <w:widowControl/>
      </w:pPr>
      <w:r>
        <w:br w:type="page"/>
      </w:r>
    </w:p>
    <w:p>
      <w:pPr>
        <w:pStyle w:val="Heading1"/>
        <w:keepNext/>
        <w:keepLines/>
        <w:widowControl/>
      </w:pPr>
      <w:r>
        <w:t>Status dokumentu</w:t>
      </w:r>
    </w:p>
    <w:tbl>
      <w:tblPr>
        <w:tblW w:type="auto" w:w="0"/>
        <w:jc w:val="left"/>
        <w:tblLayout w:type="fixed"/>
        <w:tblLook w:firstColumn="1" w:firstRow="1" w:lastColumn="0" w:lastRow="0" w:noHBand="0" w:noVBand="1" w:val="04A0"/>
      </w:tblPr>
      <w:tblGrid>
        <w:gridCol w:w="9360"/>
      </w:tblGrid>
      <w:tr>
        <w:tc>
          <w:tcPr>
            <w:tcW w:type="dxa" w:w="9360"/>
            <w:shd w:fill="EAF2F8"/>
            <w:tcMar>
              <w:top w:w="180" w:type="dxa"/>
              <w:start w:w="200" w:type="dxa"/>
              <w:bottom w:w="180" w:type="dxa"/>
              <w:end w:w="200" w:type="dxa"/>
            </w:tcMar>
          </w:tcPr>
          <w:p>
            <w:pPr>
              <w:spacing w:after="0"/>
            </w:pPr>
            <w:r>
              <w:rPr>
                <w:rFonts w:ascii="Calibri" w:hAnsi="Calibri" w:eastAsia="Calibri"/>
                <w:b/>
                <w:i w:val="0"/>
                <w:color w:val="17365D"/>
                <w:sz w:val="20"/>
              </w:rPr>
              <w:t>Olimpiada Kwantowa w opisanym niżej modelu dwóch etapów jest niezależnym konkursem edukacyjnym. Nie jest olimpiadą trójstopniową przeprowadzaną na podstawie rozporządzenia Ministra Edukacji i nie nadaje ustawowych uprawnień laureata lub finalisty, dopóki nie zostanie formalnie objęta właściwym trybem prawnym, a jej regulamin nie zostanie odpowiednio dostosowany.</w:t>
            </w:r>
          </w:p>
        </w:tc>
      </w:tr>
    </w:tbl>
    <w:p>
      <w:pPr>
        <w:pStyle w:val="Heading2"/>
        <w:keepNext/>
        <w:keepLines/>
        <w:widowControl/>
      </w:pPr>
      <w:r>
        <w:t>Organizator</w:t>
      </w:r>
    </w:p>
    <w:tbl>
      <w:tblPr>
        <w:tblW w:type="auto" w:w="0"/>
        <w:jc w:val="left"/>
        <w:tblLayout w:type="fixed"/>
        <w:tblLook w:firstColumn="1" w:firstRow="1" w:lastColumn="0" w:lastRow="0" w:noHBand="0" w:noVBand="1" w:val="04A0"/>
      </w:tblPr>
      <w:tblGrid>
        <w:gridCol w:w="2232"/>
        <w:gridCol w:w="7128"/>
      </w:tblGrid>
      <w:tr>
        <w:tc>
          <w:tcPr>
            <w:tcW w:type="dxa" w:w="4680"/>
            <w:tcMar>
              <w:top w:w="120" w:type="dxa"/>
              <w:start w:w="140" w:type="dxa"/>
              <w:bottom w:w="120" w:type="dxa"/>
              <w:end w:w="140" w:type="dxa"/>
            </w:tcMar>
            <w:vAlign w:val="center"/>
            <w:shd w:fill="DCE6F1"/>
          </w:tcPr>
          <w:p>
            <w:pPr>
              <w:spacing w:after="0"/>
            </w:pPr>
            <w:r>
              <w:rPr>
                <w:rFonts w:ascii="Calibri" w:hAnsi="Calibri" w:eastAsia="Calibri"/>
                <w:b/>
                <w:i w:val="0"/>
                <w:color w:val="17365D"/>
                <w:sz w:val="19"/>
              </w:rPr>
              <w:t>Nazwa</w:t>
            </w:r>
          </w:p>
        </w:tc>
        <w:tc>
          <w:tcPr>
            <w:tcW w:type="dxa" w:w="4680"/>
            <w:tcMar>
              <w:top w:w="120" w:type="dxa"/>
              <w:start w:w="140" w:type="dxa"/>
              <w:bottom w:w="120" w:type="dxa"/>
              <w:end w:w="140" w:type="dxa"/>
            </w:tcMar>
            <w:vAlign w:val="center"/>
            <w:shd w:fill="F2F4F7"/>
          </w:tcPr>
          <w:p>
            <w:pPr>
              <w:spacing w:after="0"/>
            </w:pPr>
            <w:r>
              <w:rPr>
                <w:rFonts w:ascii="Calibri" w:hAnsi="Calibri" w:eastAsia="Calibri"/>
                <w:b w:val="0"/>
                <w:i w:val="0"/>
                <w:color w:val="20262E"/>
                <w:sz w:val="19"/>
              </w:rPr>
              <w:t>Fundacja Quantum AI</w:t>
            </w:r>
          </w:p>
        </w:tc>
      </w:tr>
      <w:tr>
        <w:tc>
          <w:tcPr>
            <w:tcW w:type="dxa" w:w="4680"/>
            <w:tcMar>
              <w:top w:w="120" w:type="dxa"/>
              <w:start w:w="140" w:type="dxa"/>
              <w:bottom w:w="120" w:type="dxa"/>
              <w:end w:w="140" w:type="dxa"/>
            </w:tcMar>
            <w:vAlign w:val="center"/>
            <w:shd w:fill="DCE6F1"/>
          </w:tcPr>
          <w:p>
            <w:pPr>
              <w:spacing w:after="0"/>
            </w:pPr>
            <w:r>
              <w:rPr>
                <w:rFonts w:ascii="Calibri" w:hAnsi="Calibri" w:eastAsia="Calibri"/>
                <w:b/>
                <w:i w:val="0"/>
                <w:color w:val="17365D"/>
                <w:sz w:val="19"/>
              </w:rPr>
              <w:t>Adres</w:t>
            </w:r>
          </w:p>
        </w:tc>
        <w:tc>
          <w:tcPr>
            <w:tcW w:type="dxa" w:w="4680"/>
            <w:tcMar>
              <w:top w:w="120" w:type="dxa"/>
              <w:start w:w="140" w:type="dxa"/>
              <w:bottom w:w="120" w:type="dxa"/>
              <w:end w:w="140" w:type="dxa"/>
            </w:tcMar>
            <w:vAlign w:val="center"/>
            <w:shd w:fill="FFFFFF"/>
          </w:tcPr>
          <w:p>
            <w:pPr>
              <w:spacing w:after="0"/>
            </w:pPr>
            <w:r>
              <w:rPr>
                <w:rFonts w:ascii="Calibri" w:hAnsi="Calibri" w:eastAsia="Calibri"/>
                <w:b w:val="0"/>
                <w:i w:val="0"/>
                <w:color w:val="20262E"/>
                <w:sz w:val="19"/>
              </w:rPr>
              <w:t>ul. Sanocka 9/103, 02-110 Warszawa</w:t>
            </w:r>
          </w:p>
        </w:tc>
      </w:tr>
      <w:tr>
        <w:tc>
          <w:tcPr>
            <w:tcW w:type="dxa" w:w="4680"/>
            <w:tcMar>
              <w:top w:w="120" w:type="dxa"/>
              <w:start w:w="140" w:type="dxa"/>
              <w:bottom w:w="120" w:type="dxa"/>
              <w:end w:w="140" w:type="dxa"/>
            </w:tcMar>
            <w:vAlign w:val="center"/>
            <w:shd w:fill="DCE6F1"/>
          </w:tcPr>
          <w:p>
            <w:pPr>
              <w:spacing w:after="0"/>
            </w:pPr>
            <w:r>
              <w:rPr>
                <w:rFonts w:ascii="Calibri" w:hAnsi="Calibri" w:eastAsia="Calibri"/>
                <w:b/>
                <w:i w:val="0"/>
                <w:color w:val="17365D"/>
                <w:sz w:val="19"/>
              </w:rPr>
              <w:t>Rejestry</w:t>
            </w:r>
          </w:p>
        </w:tc>
        <w:tc>
          <w:tcPr>
            <w:tcW w:type="dxa" w:w="4680"/>
            <w:tcMar>
              <w:top w:w="120" w:type="dxa"/>
              <w:start w:w="140" w:type="dxa"/>
              <w:bottom w:w="120" w:type="dxa"/>
              <w:end w:w="140" w:type="dxa"/>
            </w:tcMar>
            <w:vAlign w:val="center"/>
            <w:shd w:fill="F2F4F7"/>
          </w:tcPr>
          <w:p>
            <w:pPr>
              <w:spacing w:after="0"/>
            </w:pPr>
            <w:r>
              <w:rPr>
                <w:rFonts w:ascii="Calibri" w:hAnsi="Calibri" w:eastAsia="Calibri"/>
                <w:b w:val="0"/>
                <w:i w:val="0"/>
                <w:color w:val="20262E"/>
                <w:sz w:val="19"/>
              </w:rPr>
              <w:t>KRS 0000808359 · NIP 7010955891 · REGON 384899425</w:t>
            </w:r>
          </w:p>
        </w:tc>
      </w:tr>
      <w:tr>
        <w:tc>
          <w:tcPr>
            <w:tcW w:type="dxa" w:w="4680"/>
            <w:tcMar>
              <w:top w:w="120" w:type="dxa"/>
              <w:start w:w="140" w:type="dxa"/>
              <w:bottom w:w="120" w:type="dxa"/>
              <w:end w:w="140" w:type="dxa"/>
            </w:tcMar>
            <w:vAlign w:val="center"/>
            <w:shd w:fill="DCE6F1"/>
          </w:tcPr>
          <w:p>
            <w:pPr>
              <w:spacing w:after="0"/>
            </w:pPr>
            <w:r>
              <w:rPr>
                <w:rFonts w:ascii="Calibri" w:hAnsi="Calibri" w:eastAsia="Calibri"/>
                <w:b/>
                <w:i w:val="0"/>
                <w:color w:val="17365D"/>
                <w:sz w:val="19"/>
              </w:rPr>
              <w:t>Kontakt</w:t>
            </w:r>
          </w:p>
        </w:tc>
        <w:tc>
          <w:tcPr>
            <w:tcW w:type="dxa" w:w="4680"/>
            <w:tcMar>
              <w:top w:w="120" w:type="dxa"/>
              <w:start w:w="140" w:type="dxa"/>
              <w:bottom w:w="120" w:type="dxa"/>
              <w:end w:w="140" w:type="dxa"/>
            </w:tcMar>
            <w:vAlign w:val="center"/>
            <w:shd w:fill="FFFFFF"/>
          </w:tcPr>
          <w:p>
            <w:pPr>
              <w:spacing w:after="0"/>
            </w:pPr>
            <w:r>
              <w:rPr>
                <w:rFonts w:ascii="Calibri" w:hAnsi="Calibri" w:eastAsia="Calibri"/>
                <w:b w:val="0"/>
                <w:i w:val="0"/>
                <w:color w:val="20262E"/>
                <w:sz w:val="19"/>
              </w:rPr>
              <w:t>contact@qaif.org · https://www.qaif.org/</w:t>
            </w:r>
          </w:p>
        </w:tc>
      </w:tr>
    </w:tbl>
    <w:p>
      <w:pPr>
        <w:pStyle w:val="Heading1"/>
        <w:keepNext/>
        <w:keepLines/>
        <w:widowControl/>
      </w:pPr>
      <w:r>
        <w:t>Rozdział I. Postanowienia ogólne</w:t>
      </w:r>
    </w:p>
    <w:p>
      <w:pPr>
        <w:pStyle w:val="Heading2"/>
        <w:keepNext/>
        <w:keepLines/>
        <w:widowControl/>
      </w:pPr>
      <w:r>
        <w:t>§ 1. Nazwa, charakter i Organizator</w:t>
      </w:r>
    </w:p>
    <w:p>
      <w:pPr>
        <w:numPr>
          <w:ilvl w:val="0"/>
          <w:numId w:val="11"/>
        </w:numPr>
        <w:pStyle w:val="RegulationClause"/>
        <w:keepLines/>
        <w:widowControl/>
      </w:pPr>
      <w:r>
        <w:t>Olimpiada Kwantowa, zwana dalej „Olimpiadą”, jest ogólnopolskim, indywidualnym i dwuetapowym konkursem edukacyjnym z zakresu fizyki kwantowej, informacji i informatyki kwantowej oraz ich podstaw matematycznych.</w:t>
      </w:r>
    </w:p>
    <w:p>
      <w:pPr>
        <w:numPr>
          <w:ilvl w:val="0"/>
          <w:numId w:val="11"/>
        </w:numPr>
        <w:pStyle w:val="RegulationClause"/>
        <w:keepLines/>
        <w:widowControl/>
      </w:pPr>
      <w:r>
        <w:t>Organizatorem Olimpiady jest Fundacja Quantum AI z siedzibą w Warszawie przy ul. Sanockiej 9/103, 02-110 Warszawa, wpisana do Krajowego Rejestru Sądowego pod numerem KRS 0000808359, NIP 7010955891, REGON 384899425, zwana dalej „Organizatorem”.</w:t>
      </w:r>
    </w:p>
    <w:p>
      <w:pPr>
        <w:numPr>
          <w:ilvl w:val="0"/>
          <w:numId w:val="11"/>
        </w:numPr>
        <w:pStyle w:val="RegulationClause"/>
        <w:keepLines/>
        <w:widowControl/>
      </w:pPr>
      <w:r>
        <w:t>Olimpiada posługuje się nazwą „Olimpiada Kwantowa”, jednak w modelu dwóch etapów pozostaje niezależnym konkursem edukacyjnym i nie nadaje uprawnień przewidzianych dla laureatów i finalistów olimpiad organizowanych na podstawie przepisów oświatowych, chyba że odrębny przepis, decyzja lub komunikat właściwego organu stanowi inaczej.</w:t>
      </w:r>
    </w:p>
    <w:p>
      <w:pPr>
        <w:numPr>
          <w:ilvl w:val="0"/>
          <w:numId w:val="11"/>
        </w:numPr>
        <w:pStyle w:val="RegulationClause"/>
        <w:keepLines/>
        <w:widowControl/>
      </w:pPr>
      <w:r>
        <w:t>Niniejszy Regulamin określa stałe zasady Olimpiady. Szczegóły danej edycji, w szczególności harmonogram, formę zadań, wykaz dozwolonych narzędzi, maksymalną liczbę finalistów, progi punktowe, literaturę i program merytoryczny, określają Zasady Organizacji Zawodów danej edycji, zwane dalej „ZOZ”.</w:t>
      </w:r>
    </w:p>
    <w:p>
      <w:pPr>
        <w:numPr>
          <w:ilvl w:val="0"/>
          <w:numId w:val="11"/>
        </w:numPr>
        <w:pStyle w:val="RegulationClause"/>
        <w:keepLines/>
        <w:widowControl/>
      </w:pPr>
      <w:r>
        <w:t>Regulamin, ZOZ, program merytoryczny, harmonogram oraz komunikaty są publikowane na stronie internetowej Olimpiady. Sprzeczność ZOZ z Regulaminem rozstrzyga się na korzyść Regulaminu.</w:t>
      </w:r>
    </w:p>
    <w:p>
      <w:pPr>
        <w:pStyle w:val="Heading2"/>
        <w:keepNext/>
        <w:keepLines/>
        <w:widowControl/>
      </w:pPr>
      <w:r>
        <w:t>§ 2. Cele Olimpiady</w:t>
      </w:r>
    </w:p>
    <w:p>
      <w:pPr>
        <w:numPr>
          <w:ilvl w:val="0"/>
          <w:numId w:val="12"/>
        </w:numPr>
        <w:pStyle w:val="RegulationClause"/>
        <w:keepLines/>
        <w:widowControl/>
      </w:pPr>
      <w:r>
        <w:t>Celami Olimpiady są w szczególności:</w:t>
      </w:r>
    </w:p>
    <w:p>
      <w:pPr>
        <w:numPr>
          <w:ilvl w:val="0"/>
          <w:numId w:val="13"/>
        </w:numPr>
        <w:pStyle w:val="RegulationBullet"/>
        <w:keepLines/>
        <w:widowControl/>
      </w:pPr>
      <w:r>
        <w:t>rozbudzanie zainteresowania fizyką kwantową i technologiami kwantowymi;</w:t>
      </w:r>
    </w:p>
    <w:p>
      <w:pPr>
        <w:numPr>
          <w:ilvl w:val="0"/>
          <w:numId w:val="13"/>
        </w:numPr>
        <w:pStyle w:val="RegulationBullet"/>
        <w:keepLines/>
        <w:widowControl/>
      </w:pPr>
      <w:r>
        <w:t>rozwijanie umiejętności samodzielnego rozumowania, modelowania matematycznego, analizy danych i rozwiązywania problemów;</w:t>
      </w:r>
    </w:p>
    <w:p>
      <w:pPr>
        <w:numPr>
          <w:ilvl w:val="0"/>
          <w:numId w:val="13"/>
        </w:numPr>
        <w:pStyle w:val="RegulationBullet"/>
        <w:keepLines/>
        <w:widowControl/>
      </w:pPr>
      <w:r>
        <w:t>identyfikowanie i wspieranie uczniów uzdolnionych;</w:t>
      </w:r>
    </w:p>
    <w:p>
      <w:pPr>
        <w:numPr>
          <w:ilvl w:val="0"/>
          <w:numId w:val="13"/>
        </w:numPr>
        <w:pStyle w:val="RegulationBullet"/>
        <w:keepLines/>
        <w:widowControl/>
      </w:pPr>
      <w:r>
        <w:t>tworzenie przestrzeni do uczciwego współzawodnictwa i wymiany wiedzy;</w:t>
      </w:r>
    </w:p>
    <w:p>
      <w:pPr>
        <w:numPr>
          <w:ilvl w:val="0"/>
          <w:numId w:val="13"/>
        </w:numPr>
        <w:pStyle w:val="RegulationBullet"/>
        <w:keepLines/>
        <w:widowControl/>
      </w:pPr>
      <w:r>
        <w:t>upowszechnianie rzetelnej wiedzy o współczesnej nauce i jej zastosowaniach.</w:t>
      </w:r>
    </w:p>
    <w:p>
      <w:pPr>
        <w:numPr>
          <w:ilvl w:val="0"/>
          <w:numId w:val="12"/>
        </w:numPr>
        <w:pStyle w:val="RegulationClause"/>
        <w:keepLines/>
        <w:widowControl/>
      </w:pPr>
      <w:r>
        <w:t>Olimpiada realizuje cele przez organizację zawodów, publikację materiałów edukacyjnych, konsultacje naukowe, wydarzenia dla uczniów i nauczycieli oraz współpracę ze środowiskiem akademickim i technologicznym.</w:t>
      </w:r>
    </w:p>
    <w:p>
      <w:pPr>
        <w:pStyle w:val="Heading1"/>
        <w:keepNext/>
        <w:keepLines/>
        <w:widowControl/>
      </w:pPr>
      <w:r>
        <w:t>Rozdział II. Uczestnicy</w:t>
      </w:r>
    </w:p>
    <w:p>
      <w:pPr>
        <w:pStyle w:val="Heading2"/>
        <w:keepNext/>
        <w:keepLines/>
        <w:widowControl/>
      </w:pPr>
      <w:r>
        <w:t>§ 3. Warunki udziału</w:t>
      </w:r>
    </w:p>
    <w:p>
      <w:pPr>
        <w:numPr>
          <w:ilvl w:val="0"/>
          <w:numId w:val="14"/>
        </w:numPr>
        <w:pStyle w:val="RegulationClause"/>
        <w:keepLines/>
        <w:widowControl/>
      </w:pPr>
      <w:r>
        <w:t>Uczestnikami mogą być uczniowie liceów ogólnokształcących, techników, branżowych szkół I i II stopnia oraz innych szkół ponadpodstawowych, którzy zaakceptują Regulamin i prawidłowo zarejestrują się w systemie Olimpiady.</w:t>
      </w:r>
    </w:p>
    <w:p>
      <w:pPr>
        <w:numPr>
          <w:ilvl w:val="0"/>
          <w:numId w:val="14"/>
        </w:numPr>
        <w:pStyle w:val="RegulationClause"/>
        <w:keepLines/>
        <w:widowControl/>
      </w:pPr>
      <w:r>
        <w:t>Do udziału mogą zostać dopuszczeni uczniowie szkół podstawowych wykazujący wiedzę i uzdolnienia wykraczające poza program swojej szkoły, jeżeli przedstawią rekomendację szkoły albo opiekuna naukowego i spełnią pozostałe warunki udziału.</w:t>
      </w:r>
    </w:p>
    <w:p>
      <w:pPr>
        <w:numPr>
          <w:ilvl w:val="0"/>
          <w:numId w:val="14"/>
        </w:numPr>
        <w:pStyle w:val="RegulationClause"/>
        <w:keepLines/>
        <w:widowControl/>
      </w:pPr>
      <w:r>
        <w:t>Udział jest dobrowolny, indywidualny i bezpłatny. Organizator nie może uzależniać udziału od zakupu towarów lub usług.</w:t>
      </w:r>
    </w:p>
    <w:p>
      <w:pPr>
        <w:numPr>
          <w:ilvl w:val="0"/>
          <w:numId w:val="14"/>
        </w:numPr>
        <w:pStyle w:val="RegulationClause"/>
        <w:keepLines/>
        <w:widowControl/>
      </w:pPr>
      <w:r>
        <w:t>Osoba niepełnoletnia uczestniczy za wiedzą i zgodą rodzica albo opiekuna prawnego, w zakresie wymaganym przez prawo i ZOZ.</w:t>
      </w:r>
    </w:p>
    <w:p>
      <w:pPr>
        <w:numPr>
          <w:ilvl w:val="0"/>
          <w:numId w:val="14"/>
        </w:numPr>
        <w:pStyle w:val="RegulationClause"/>
        <w:keepLines/>
        <w:widowControl/>
      </w:pPr>
      <w:r>
        <w:t>Uczestnik podaje prawdziwe i aktualne dane, chroni dane dostępowe do konta oraz niezwłocznie informuje Organizatora o ich utracie albo podejrzeniu przejęcia konta.</w:t>
      </w:r>
    </w:p>
    <w:p>
      <w:pPr>
        <w:numPr>
          <w:ilvl w:val="0"/>
          <w:numId w:val="14"/>
        </w:numPr>
        <w:pStyle w:val="RegulationClause"/>
        <w:keepLines/>
        <w:widowControl/>
      </w:pPr>
      <w:r>
        <w:t>Organizator zapewnia równe traktowanie uczestników. Na uzasadniony i odpowiednio wczesny wniosek umożliwia racjonalne dostosowanie warunków udziału do potrzeb osoby z niepełnosprawnością lub szczególnymi potrzebami edukacyjnymi, o ile nie zmienia to istoty sprawdzanych umiejętności.</w:t>
      </w:r>
    </w:p>
    <w:p>
      <w:pPr>
        <w:pStyle w:val="Heading2"/>
        <w:keepNext/>
        <w:keepLines/>
        <w:widowControl/>
      </w:pPr>
      <w:r>
        <w:t>§ 4. Rejestracja i komunikacja</w:t>
      </w:r>
    </w:p>
    <w:p>
      <w:pPr>
        <w:numPr>
          <w:ilvl w:val="0"/>
          <w:numId w:val="15"/>
        </w:numPr>
        <w:pStyle w:val="RegulationClause"/>
        <w:keepLines/>
        <w:widowControl/>
      </w:pPr>
      <w:r>
        <w:t>Rejestracja odbywa się elektronicznie w terminie wskazanym w harmonogramie. Za datę zgłoszenia uważa się chwilę zapisania kompletnego formularza w systemie.</w:t>
      </w:r>
    </w:p>
    <w:p>
      <w:pPr>
        <w:numPr>
          <w:ilvl w:val="0"/>
          <w:numId w:val="15"/>
        </w:numPr>
        <w:pStyle w:val="RegulationClause"/>
        <w:keepLines/>
        <w:widowControl/>
      </w:pPr>
      <w:r>
        <w:t>Organizator może zweryfikować status ucznia, tożsamość uczestnika oraz zgodę rodzica lub opiekuna prawnego. Brak uzupełnienia danych w wyznaczonym terminie może skutkować niedopuszczeniem do zawodów.</w:t>
      </w:r>
    </w:p>
    <w:p>
      <w:pPr>
        <w:numPr>
          <w:ilvl w:val="0"/>
          <w:numId w:val="15"/>
        </w:numPr>
        <w:pStyle w:val="RegulationClause"/>
        <w:keepLines/>
        <w:widowControl/>
      </w:pPr>
      <w:r>
        <w:t>Podstawowym kanałem komunikacji jest konto uczestnika i adres e-mail podany podczas rejestracji. Uczestnik odpowiada za regularne sprawdzanie wiadomości i komunikatów.</w:t>
      </w:r>
    </w:p>
    <w:p>
      <w:pPr>
        <w:numPr>
          <w:ilvl w:val="0"/>
          <w:numId w:val="15"/>
        </w:numPr>
        <w:pStyle w:val="RegulationClause"/>
        <w:keepLines/>
        <w:widowControl/>
      </w:pPr>
      <w:r>
        <w:t>Oświadczenia i zgody związane z udziałem składa uczestnik, a w przypadkach wymaganych prawem także jego rodzic albo opiekun prawny.</w:t>
      </w:r>
    </w:p>
    <w:p>
      <w:pPr>
        <w:pStyle w:val="Heading1"/>
        <w:keepNext/>
        <w:keepLines/>
        <w:widowControl/>
      </w:pPr>
      <w:r>
        <w:t>Rozdział III. Organy Olimpiady</w:t>
      </w:r>
    </w:p>
    <w:p>
      <w:pPr>
        <w:pStyle w:val="Heading2"/>
        <w:keepNext/>
        <w:keepLines/>
        <w:widowControl/>
      </w:pPr>
      <w:r>
        <w:t>§ 5. Komitet Merytoryczny i Jury</w:t>
      </w:r>
    </w:p>
    <w:p>
      <w:pPr>
        <w:numPr>
          <w:ilvl w:val="0"/>
          <w:numId w:val="16"/>
        </w:numPr>
        <w:pStyle w:val="RegulationClause"/>
        <w:keepLines/>
        <w:widowControl/>
      </w:pPr>
      <w:r>
        <w:t>Organizator powołuje Komitet Merytoryczny spośród osób posiadających wiedzę naukową, dydaktyczną lub praktyczną z zakresu objętego programem Olimpiady.</w:t>
      </w:r>
    </w:p>
    <w:p>
      <w:pPr>
        <w:numPr>
          <w:ilvl w:val="0"/>
          <w:numId w:val="16"/>
        </w:numPr>
        <w:pStyle w:val="RegulationClause"/>
        <w:keepLines/>
        <w:widowControl/>
      </w:pPr>
      <w:r>
        <w:t>Komitet Merytoryczny pełni w całości funkcję Jury Olimpiady, zwanego dalej „Jury”. Nie powołuje się odrębnego stałego jury, chyba że Organizator zmieni Regulamin przed rozpoczęciem edycji.</w:t>
      </w:r>
    </w:p>
    <w:p>
      <w:pPr>
        <w:numPr>
          <w:ilvl w:val="0"/>
          <w:numId w:val="16"/>
        </w:numPr>
        <w:pStyle w:val="RegulationClause"/>
        <w:keepLines/>
        <w:widowControl/>
      </w:pPr>
      <w:r>
        <w:t>Do zadań Jury należy w szczególności:</w:t>
      </w:r>
    </w:p>
    <w:p>
      <w:pPr>
        <w:numPr>
          <w:ilvl w:val="0"/>
          <w:numId w:val="17"/>
        </w:numPr>
        <w:pStyle w:val="RegulationBullet"/>
        <w:keepLines/>
        <w:widowControl/>
      </w:pPr>
      <w:r>
        <w:t>opracowanie i aktualizacja programu merytorycznego oraz wykazu literatury;</w:t>
      </w:r>
    </w:p>
    <w:p>
      <w:pPr>
        <w:numPr>
          <w:ilvl w:val="0"/>
          <w:numId w:val="17"/>
        </w:numPr>
        <w:pStyle w:val="RegulationBullet"/>
        <w:keepLines/>
        <w:widowControl/>
      </w:pPr>
      <w:r>
        <w:t>przygotowanie, wybór i niezależna weryfikacja zadań oraz kryteriów oceniania;</w:t>
      </w:r>
    </w:p>
    <w:p>
      <w:pPr>
        <w:numPr>
          <w:ilvl w:val="0"/>
          <w:numId w:val="17"/>
        </w:numPr>
        <w:pStyle w:val="RegulationBullet"/>
        <w:keepLines/>
        <w:widowControl/>
      </w:pPr>
      <w:r>
        <w:t>anonimowa ocena prac, ustalanie wyników i list rankingowych;</w:t>
      </w:r>
    </w:p>
    <w:p>
      <w:pPr>
        <w:numPr>
          <w:ilvl w:val="0"/>
          <w:numId w:val="17"/>
        </w:numPr>
        <w:pStyle w:val="RegulationBullet"/>
        <w:keepLines/>
        <w:widowControl/>
      </w:pPr>
      <w:r>
        <w:t>ustalenie progu kwalifikacji do finału oraz wskazanie potencjalnych finalistów;</w:t>
      </w:r>
    </w:p>
    <w:p>
      <w:pPr>
        <w:numPr>
          <w:ilvl w:val="0"/>
          <w:numId w:val="17"/>
        </w:numPr>
        <w:pStyle w:val="RegulationBullet"/>
        <w:keepLines/>
        <w:widowControl/>
      </w:pPr>
      <w:r>
        <w:t>przeprowadzenie rozmów kwalifikacyjnych, jeżeli zachodzą warunki określone w § 12;</w:t>
      </w:r>
    </w:p>
    <w:p>
      <w:pPr>
        <w:numPr>
          <w:ilvl w:val="0"/>
          <w:numId w:val="17"/>
        </w:numPr>
        <w:pStyle w:val="RegulationBullet"/>
        <w:keepLines/>
        <w:widowControl/>
      </w:pPr>
      <w:r>
        <w:t>rozpatrywanie reklamacji i przedstawianie Organizatorowi wniosków w sprawach naruszeń Regulaminu;</w:t>
      </w:r>
    </w:p>
    <w:p>
      <w:pPr>
        <w:numPr>
          <w:ilvl w:val="0"/>
          <w:numId w:val="17"/>
        </w:numPr>
        <w:pStyle w:val="RegulationBullet"/>
        <w:keepLines/>
        <w:widowControl/>
      </w:pPr>
      <w:r>
        <w:t>przyznawanie tytułów, miejsc i wyróżnień zgodnie z Regulaminem.</w:t>
      </w:r>
    </w:p>
    <w:p>
      <w:pPr>
        <w:numPr>
          <w:ilvl w:val="0"/>
          <w:numId w:val="16"/>
        </w:numPr>
        <w:pStyle w:val="RegulationClause"/>
        <w:keepLines/>
        <w:widowControl/>
      </w:pPr>
      <w:r>
        <w:t>Jury może tworzyć zespoły zadaniowe i zespoły oceniające. Rozstrzygnięcie podjęte przez taki zespół jest zatwierdzane w trybie ustalonym przez przewodniczącego Komitetu Merytorycznego.</w:t>
      </w:r>
    </w:p>
    <w:p>
      <w:pPr>
        <w:numPr>
          <w:ilvl w:val="0"/>
          <w:numId w:val="16"/>
        </w:numPr>
        <w:pStyle w:val="RegulationClause"/>
        <w:keepLines/>
        <w:widowControl/>
      </w:pPr>
      <w:r>
        <w:t>Członek Jury, którego bezstronność może budzić uzasadnione wątpliwości, w szczególności z powodu pokrewieństwa, zależności służbowej albo bezpośredniego przygotowywania uczestnika, ujawnia konflikt interesów i nie bierze udziału w ocenie ani decyzji dotyczącej tej osoby.</w:t>
      </w:r>
    </w:p>
    <w:p>
      <w:pPr>
        <w:pStyle w:val="Heading2"/>
        <w:keepNext/>
        <w:keepLines/>
        <w:widowControl/>
      </w:pPr>
      <w:r>
        <w:t>§ 6. Komitet Organizacyjny</w:t>
      </w:r>
    </w:p>
    <w:p>
      <w:pPr>
        <w:numPr>
          <w:ilvl w:val="0"/>
          <w:numId w:val="18"/>
        </w:numPr>
        <w:pStyle w:val="RegulationClause"/>
        <w:keepLines/>
        <w:widowControl/>
      </w:pPr>
      <w:r>
        <w:t>Organizator powołuje Komitet Organizacyjny odpowiedzialny za rejestrację, obsługę systemu, komunikację, logistykę, miejsce finału, bezpieczeństwo, dostępność, dokumentację i współpracę z partnerami.</w:t>
      </w:r>
    </w:p>
    <w:p>
      <w:pPr>
        <w:numPr>
          <w:ilvl w:val="0"/>
          <w:numId w:val="18"/>
        </w:numPr>
        <w:pStyle w:val="RegulationClause"/>
        <w:keepLines/>
        <w:widowControl/>
      </w:pPr>
      <w:r>
        <w:t>Komitet Organizacyjny nie ingeruje w merytoryczną ocenę prac ani w treść zadań. Może przekazywać Jury informacje o zdarzeniach technicznych i organizacyjnych mających znaczenie dla równego traktowania uczestników.</w:t>
      </w:r>
    </w:p>
    <w:p>
      <w:pPr>
        <w:numPr>
          <w:ilvl w:val="0"/>
          <w:numId w:val="18"/>
        </w:numPr>
        <w:pStyle w:val="RegulationClause"/>
        <w:keepLines/>
        <w:widowControl/>
      </w:pPr>
      <w:r>
        <w:t>Aktualny skład obu Komitetów jest publikowany na stronie Olimpiady. Organizator może zmieniać skład w trakcie edycji, jeżeli wymaga tego zapewnienie ciągłości prac, bezstronności lub bezpieczeństwa.</w:t>
      </w:r>
    </w:p>
    <w:p>
      <w:pPr>
        <w:pStyle w:val="Heading2"/>
        <w:keepNext/>
        <w:keepLines/>
        <w:widowControl/>
      </w:pPr>
      <w:r>
        <w:t>§ 7. Tryb pracy i poufność</w:t>
      </w:r>
    </w:p>
    <w:p>
      <w:pPr>
        <w:numPr>
          <w:ilvl w:val="0"/>
          <w:numId w:val="19"/>
        </w:numPr>
        <w:pStyle w:val="RegulationClause"/>
        <w:keepLines/>
        <w:widowControl/>
      </w:pPr>
      <w:r>
        <w:t>Komitety pracują na posiedzeniach stacjonarnych lub zdalnych. Decyzje Jury zapadają zwykłą większością głosów w obecności co najmniej połowy członków uprawnionych do głosowania; przy równej liczbie głosów rozstrzyga głos przewodniczącego.</w:t>
      </w:r>
    </w:p>
    <w:p>
      <w:pPr>
        <w:numPr>
          <w:ilvl w:val="0"/>
          <w:numId w:val="19"/>
        </w:numPr>
        <w:pStyle w:val="RegulationClause"/>
        <w:keepLines/>
        <w:widowControl/>
      </w:pPr>
      <w:r>
        <w:t>Z posiedzeń dotyczących kwalifikacji, wyników, odwołań i sankcji sporządza się protokół.</w:t>
      </w:r>
    </w:p>
    <w:p>
      <w:pPr>
        <w:numPr>
          <w:ilvl w:val="0"/>
          <w:numId w:val="19"/>
        </w:numPr>
        <w:pStyle w:val="RegulationClause"/>
        <w:keepLines/>
        <w:widowControl/>
      </w:pPr>
      <w:r>
        <w:t>Osoby mające dostęp do treści zadań, kryteriów, danych uczestników lub nieopublikowanych wyników są zobowiązane do zachowania poufności.</w:t>
      </w:r>
    </w:p>
    <w:p>
      <w:pPr>
        <w:numPr>
          <w:ilvl w:val="0"/>
          <w:numId w:val="19"/>
        </w:numPr>
        <w:pStyle w:val="RegulationClause"/>
        <w:keepLines/>
        <w:widowControl/>
      </w:pPr>
      <w:r>
        <w:t>Organizator może dopuścić ekspertów zewnętrznych do konsultacji bez prawa głosu, po zobowiązaniu ich do poufności i ujawnienia konfliktów interesów.</w:t>
      </w:r>
    </w:p>
    <w:p>
      <w:pPr>
        <w:pStyle w:val="Heading1"/>
        <w:keepNext/>
        <w:keepLines/>
        <w:widowControl/>
      </w:pPr>
      <w:r>
        <w:t>Rozdział IV. Zadania i zasady oceniania</w:t>
      </w:r>
    </w:p>
    <w:p>
      <w:pPr>
        <w:pStyle w:val="Heading2"/>
        <w:keepNext/>
        <w:keepLines/>
        <w:widowControl/>
      </w:pPr>
      <w:r>
        <w:t>§ 8. Opracowywanie zadań</w:t>
      </w:r>
    </w:p>
    <w:p>
      <w:pPr>
        <w:numPr>
          <w:ilvl w:val="0"/>
          <w:numId w:val="20"/>
        </w:numPr>
        <w:pStyle w:val="RegulationClause"/>
        <w:keepLines/>
        <w:widowControl/>
      </w:pPr>
      <w:r>
        <w:t>Zadania powinny być oryginalne, jednoznaczne, zgodne z programem merytorycznym i dostosowane do celu danego etapu.</w:t>
      </w:r>
    </w:p>
    <w:p>
      <w:pPr>
        <w:numPr>
          <w:ilvl w:val="0"/>
          <w:numId w:val="20"/>
        </w:numPr>
        <w:pStyle w:val="RegulationClause"/>
        <w:keepLines/>
        <w:widowControl/>
      </w:pPr>
      <w:r>
        <w:t>Każde zadanie przed wykorzystaniem podlega niezależnej weryfikacji merytorycznej i redakcyjnej przez co najmniej jedną osobę inną niż autor, a w miarę możliwości także próbnemu rozwiązaniu.</w:t>
      </w:r>
    </w:p>
    <w:p>
      <w:pPr>
        <w:numPr>
          <w:ilvl w:val="0"/>
          <w:numId w:val="20"/>
        </w:numPr>
        <w:pStyle w:val="RegulationClause"/>
        <w:keepLines/>
        <w:widowControl/>
      </w:pPr>
      <w:r>
        <w:t>Wraz z zadaniem Jury przygotowuje model rozwiązania, kryteria i skalę oceniania oraz zasady uwzględniania rozwiązań alternatywnych.</w:t>
      </w:r>
    </w:p>
    <w:p>
      <w:pPr>
        <w:numPr>
          <w:ilvl w:val="0"/>
          <w:numId w:val="20"/>
        </w:numPr>
        <w:pStyle w:val="RegulationClause"/>
        <w:keepLines/>
        <w:widowControl/>
      </w:pPr>
      <w:r>
        <w:t>Treść zadania pozostaje poufna do chwili wskazanej przez Organizatora. Naruszenie poufności przez osobę zaangażowaną w przygotowanie zadania wymaga wyłączenia zadania albo zastosowania innego środka przywracającego równość uczestników.</w:t>
      </w:r>
    </w:p>
    <w:p>
      <w:pPr>
        <w:pStyle w:val="Heading2"/>
        <w:keepNext/>
        <w:keepLines/>
        <w:widowControl/>
      </w:pPr>
      <w:r>
        <w:t>§ 9. Ocena prac</w:t>
      </w:r>
    </w:p>
    <w:p>
      <w:pPr>
        <w:numPr>
          <w:ilvl w:val="0"/>
          <w:numId w:val="21"/>
        </w:numPr>
        <w:pStyle w:val="RegulationClause"/>
        <w:keepLines/>
        <w:widowControl/>
      </w:pPr>
      <w:r>
        <w:t>Prace są oznaczane losowym kodem i oceniane bez ujawniania oceniającym imienia, nazwiska, szkoły ani danych kontaktowych autora.</w:t>
      </w:r>
    </w:p>
    <w:p>
      <w:pPr>
        <w:numPr>
          <w:ilvl w:val="0"/>
          <w:numId w:val="21"/>
        </w:numPr>
        <w:pStyle w:val="RegulationClause"/>
        <w:keepLines/>
        <w:widowControl/>
      </w:pPr>
      <w:r>
        <w:t>Za każde zadanie można uzyskać liczbę punktów określoną w jego treści. Kryteria uwzględniają poprawność, kompletność i jakość uzasadnienia, a jeżeli wynika to z zadania także efektywność metody, analizę błędów, interpretację fizyczną, jakość kodu lub opracowanie danych.</w:t>
      </w:r>
    </w:p>
    <w:p>
      <w:pPr>
        <w:numPr>
          <w:ilvl w:val="0"/>
          <w:numId w:val="21"/>
        </w:numPr>
        <w:pStyle w:val="RegulationClause"/>
        <w:keepLines/>
        <w:widowControl/>
      </w:pPr>
      <w:r>
        <w:t>Każda praca jest oceniana przez co najmniej dwóch członków Jury, o ile liczba prac i dostępność ekspertów na to pozwala. Wynikiem jest średnia ocen. Jeżeli różnica przekracza 20% maksymalnej liczby punktów za zadanie, pracę ocenia dodatkowy juror, a Jury uzgadnia wynik końcowy.</w:t>
      </w:r>
    </w:p>
    <w:p>
      <w:pPr>
        <w:numPr>
          <w:ilvl w:val="0"/>
          <w:numId w:val="21"/>
        </w:numPr>
        <w:pStyle w:val="RegulationClause"/>
        <w:keepLines/>
        <w:widowControl/>
      </w:pPr>
      <w:r>
        <w:t>Błąd techniczny albo oczywista omyłka rachunkowa w ocenie podlega sprostowaniu również z urzędu.</w:t>
      </w:r>
    </w:p>
    <w:p>
      <w:pPr>
        <w:numPr>
          <w:ilvl w:val="0"/>
          <w:numId w:val="21"/>
        </w:numPr>
        <w:pStyle w:val="RegulationClause"/>
        <w:keepLines/>
        <w:widowControl/>
      </w:pPr>
      <w:r>
        <w:t>Listę rankingową tworzy się według łącznej liczby punktów, z uwzględnieniem zasad rozstrzygania remisów opublikowanych w ZOZ przed rozpoczęciem etapu.</w:t>
      </w:r>
    </w:p>
    <w:p>
      <w:pPr>
        <w:pStyle w:val="Heading1"/>
        <w:keepNext/>
        <w:keepLines/>
        <w:widowControl/>
      </w:pPr>
      <w:r>
        <w:t>Rozdział V. Przebieg zawodów</w:t>
      </w:r>
    </w:p>
    <w:p>
      <w:pPr>
        <w:pStyle w:val="Heading2"/>
        <w:keepNext/>
        <w:keepLines/>
        <w:widowControl/>
      </w:pPr>
      <w:r>
        <w:t>§ 10. Struktura Olimpiady</w:t>
      </w:r>
    </w:p>
    <w:p>
      <w:pPr>
        <w:numPr>
          <w:ilvl w:val="0"/>
          <w:numId w:val="22"/>
        </w:numPr>
        <w:pStyle w:val="RegulationClause"/>
        <w:keepLines/>
        <w:widowControl/>
      </w:pPr>
      <w:r>
        <w:t>Olimpiada składa się z dwóch etapów: Etapu I przeprowadzanego zdalnie oraz Etapu II będącego stacjonarnym finałem.</w:t>
      </w:r>
    </w:p>
    <w:p>
      <w:pPr>
        <w:numPr>
          <w:ilvl w:val="0"/>
          <w:numId w:val="22"/>
        </w:numPr>
        <w:pStyle w:val="RegulationClause"/>
        <w:keepLines/>
        <w:widowControl/>
      </w:pPr>
      <w:r>
        <w:t>Rozmowa kwalifikacyjna, o której mowa w § 12, jest pomocniczą procedurą kwalifikacji po Etapie I i nie stanowi odrębnego etapu Olimpiady.</w:t>
      </w:r>
    </w:p>
    <w:p>
      <w:pPr>
        <w:numPr>
          <w:ilvl w:val="0"/>
          <w:numId w:val="22"/>
        </w:numPr>
        <w:pStyle w:val="RegulationClause"/>
        <w:keepLines/>
        <w:widowControl/>
      </w:pPr>
      <w:r>
        <w:t>Zawody mają charakter indywidualny. Współpraca przy rozwiązywaniu zadań, zlecanie rozwiązania innej osobie oraz podszywanie się pod uczestnika są zabronione.</w:t>
      </w:r>
    </w:p>
    <w:p>
      <w:pPr>
        <w:numPr>
          <w:ilvl w:val="0"/>
          <w:numId w:val="22"/>
        </w:numPr>
        <w:pStyle w:val="RegulationClause"/>
        <w:keepLines/>
        <w:widowControl/>
      </w:pPr>
      <w:r>
        <w:t>Harmonogram i istotne warunki zawodów publikuje się przed rozpoczęciem rejestracji. Nie zmienia się ich w trakcie edycji, z wyjątkiem siły wyższej, zagrożenia bezpieczeństwa, awarii lub konieczności ochrony równego traktowania uczestników.</w:t>
      </w:r>
    </w:p>
    <w:p>
      <w:pPr>
        <w:pStyle w:val="Heading2"/>
        <w:keepNext/>
        <w:keepLines/>
        <w:widowControl/>
      </w:pPr>
      <w:r>
        <w:t>§ 11. Etap I - zawody zdalne</w:t>
      </w:r>
    </w:p>
    <w:p>
      <w:pPr>
        <w:numPr>
          <w:ilvl w:val="0"/>
          <w:numId w:val="23"/>
        </w:numPr>
        <w:pStyle w:val="RegulationClause"/>
        <w:keepLines/>
        <w:widowControl/>
      </w:pPr>
      <w:r>
        <w:t>Etap I ma charakter otwarty dla prawidłowo zarejestrowanych uczestników i odbywa się przez Internet w terminie wskazanym w harmonogramie.</w:t>
      </w:r>
    </w:p>
    <w:p>
      <w:pPr>
        <w:numPr>
          <w:ilvl w:val="0"/>
          <w:numId w:val="23"/>
        </w:numPr>
        <w:pStyle w:val="RegulationClause"/>
        <w:keepLines/>
        <w:widowControl/>
      </w:pPr>
      <w:r>
        <w:t>Uczestnik samodzielnie rozwiązuje opublikowane zadania i przesyła rozwiązania w formacie oraz przez system wskazany w ZOZ. O zachowaniu terminu decyduje czas zarejestrowania kompletnego pliku w systemie.</w:t>
      </w:r>
    </w:p>
    <w:p>
      <w:pPr>
        <w:numPr>
          <w:ilvl w:val="0"/>
          <w:numId w:val="23"/>
        </w:numPr>
        <w:pStyle w:val="RegulationClause"/>
        <w:keepLines/>
        <w:widowControl/>
      </w:pPr>
      <w:r>
        <w:t>Jeżeli ZOZ nie stanowią inaczej, w Etapie I wolno korzystać z podręczników, publikacji naukowych, własnych notatek, kalkulatora i lokalnych narzędzi obliczeniowych, pod warunkiem samodzielnego opracowania rozwiązania i wskazania wykorzystanych źródeł.</w:t>
      </w:r>
    </w:p>
    <w:p>
      <w:pPr>
        <w:numPr>
          <w:ilvl w:val="0"/>
          <w:numId w:val="23"/>
        </w:numPr>
        <w:pStyle w:val="RegulationClause"/>
        <w:keepLines/>
        <w:widowControl/>
      </w:pPr>
      <w:r>
        <w:t>Korzystanie z generatywnej sztucznej inteligencji do wytworzenia treści rozwiązania, z usług osób trzecich, cudzych nieopublikowanych rozwiązań lub wspólnego opracowywania pracy jest zabronione, chyba że treść zadania wyraźnie dopuszcza określone narzędzie i opisuje sposób jego użycia.</w:t>
      </w:r>
    </w:p>
    <w:p>
      <w:pPr>
        <w:numPr>
          <w:ilvl w:val="0"/>
          <w:numId w:val="23"/>
        </w:numPr>
        <w:pStyle w:val="RegulationClause"/>
        <w:keepLines/>
        <w:widowControl/>
      </w:pPr>
      <w:r>
        <w:t>Uczestnik odpowiada za czytelność i kompletność pliku. Po wysłaniu powinien sprawdzić potwierdzenie w panelu. Do upływu terminu może zastąpić rozwiązanie nową wersją, jeżeli system udostępnia taką możliwość.</w:t>
      </w:r>
    </w:p>
    <w:p>
      <w:pPr>
        <w:numPr>
          <w:ilvl w:val="0"/>
          <w:numId w:val="23"/>
        </w:numPr>
        <w:pStyle w:val="RegulationClause"/>
        <w:keepLines/>
        <w:widowControl/>
      </w:pPr>
      <w:r>
        <w:t>Rozwiązania przesłane po terminie nie podlegają ocenie, chyba że Organizator potwierdzi awarię po swojej stronie i wyznaczy jednolite rozwiązanie dla wszystkich dotkniętych uczestników.</w:t>
      </w:r>
    </w:p>
    <w:p>
      <w:pPr>
        <w:numPr>
          <w:ilvl w:val="0"/>
          <w:numId w:val="23"/>
        </w:numPr>
        <w:pStyle w:val="RegulationClause"/>
        <w:keepLines/>
        <w:widowControl/>
      </w:pPr>
      <w:r>
        <w:t>Po ocenie Jury publikuje wyniki wstępne i wskazuje osoby zakwalifikowane do finału albo grupę potencjalnych finalistów kierowanych do rozmowy kwalifikacyjnej.</w:t>
      </w:r>
    </w:p>
    <w:p>
      <w:pPr>
        <w:pStyle w:val="Heading2"/>
        <w:keepNext/>
        <w:keepLines/>
        <w:widowControl/>
      </w:pPr>
      <w:r>
        <w:t>§ 12. Rozmowa kwalifikacyjna po Etapie I</w:t>
      </w:r>
    </w:p>
    <w:p>
      <w:pPr>
        <w:numPr>
          <w:ilvl w:val="0"/>
          <w:numId w:val="24"/>
        </w:numPr>
        <w:pStyle w:val="RegulationClause"/>
        <w:keepLines/>
        <w:widowControl/>
      </w:pPr>
      <w:r>
        <w:t>Jeżeli liczba uczestników spełniających wstępne kryterium kwalifikacji do finału przekracza maksymalną liczbę miejsc opublikowaną w ZOZ, Jury może przeprowadzić rozmowę kwalifikacyjną z potencjalnymi finalistami.</w:t>
      </w:r>
    </w:p>
    <w:p>
      <w:pPr>
        <w:numPr>
          <w:ilvl w:val="0"/>
          <w:numId w:val="24"/>
        </w:numPr>
        <w:pStyle w:val="RegulationClause"/>
        <w:keepLines/>
        <w:widowControl/>
      </w:pPr>
      <w:r>
        <w:t>Potencjalnymi finalistami są uczestnicy, których wynik Etapu I osiągnął próg wskazany przez Jury oraz mieści się w przedziale kwalifikacyjnym ogłoszonym wraz z wynikami wstępnymi. Kryterium doboru grupy musi być jednakowe dla wszystkich.</w:t>
      </w:r>
    </w:p>
    <w:p>
      <w:pPr>
        <w:numPr>
          <w:ilvl w:val="0"/>
          <w:numId w:val="24"/>
        </w:numPr>
        <w:pStyle w:val="RegulationClause"/>
        <w:keepLines/>
        <w:widowControl/>
      </w:pPr>
      <w:r>
        <w:t>Informację o rozmowie, jej formie, terminie i sposobie identyfikacji przekazuje się co najmniej 7 dni kalendarzowych wcześniej. Rozmowa może odbyć się zdalnie albo stacjonarnie i trwa co do zasady od 20 do 30 minut.</w:t>
      </w:r>
    </w:p>
    <w:p>
      <w:pPr>
        <w:numPr>
          <w:ilvl w:val="0"/>
          <w:numId w:val="24"/>
        </w:numPr>
        <w:pStyle w:val="RegulationClause"/>
        <w:keepLines/>
        <w:widowControl/>
      </w:pPr>
      <w:r>
        <w:t>Zakres rozmowy obejmuje cały program merytoryczny, wykaz wymaganej wiedzy i literaturę ogłoszone dla danej edycji, a nie wyłącznie zagadnienia z zadań Etapu I.</w:t>
      </w:r>
    </w:p>
    <w:p>
      <w:pPr>
        <w:numPr>
          <w:ilvl w:val="0"/>
          <w:numId w:val="24"/>
        </w:numPr>
        <w:pStyle w:val="RegulationClause"/>
        <w:keepLines/>
        <w:widowControl/>
      </w:pPr>
      <w:r>
        <w:t>Rozmowę prowadzi komisja co najmniej trzech członków Jury. Pytania dla poszczególnych osób mogą być różne, ale muszą mieć porównywalny zakres i poziom trudności. Komisja sporządza protokół i przyznaje od 0 do 20 punktów według opublikowanych kryteriów: poprawność merytoryczna, tok rozumowania, samodzielność oraz umiejętność obrony wniosków.</w:t>
      </w:r>
    </w:p>
    <w:p>
      <w:pPr>
        <w:numPr>
          <w:ilvl w:val="0"/>
          <w:numId w:val="24"/>
        </w:numPr>
        <w:pStyle w:val="RegulationClause"/>
        <w:keepLines/>
        <w:widowControl/>
      </w:pPr>
      <w:r>
        <w:t>W przypadku przeprowadzenia rozmów końcowy wynik kwalifikacyjny stanowi suma 80% znormalizowanego wyniku Etapu I oraz 20% znormalizowanego wyniku rozmowy. Do finału kwalifikują się osoby z najwyższym wynikiem, do wyczerpania liczby miejsc, z zastosowaniem reguł remisów określonych w ZOZ.</w:t>
      </w:r>
    </w:p>
    <w:p>
      <w:pPr>
        <w:numPr>
          <w:ilvl w:val="0"/>
          <w:numId w:val="24"/>
        </w:numPr>
        <w:pStyle w:val="RegulationClause"/>
        <w:keepLines/>
        <w:widowControl/>
      </w:pPr>
      <w:r>
        <w:t>Rozmowa służy wyłącznie ustaleniu listy finalistów i nie jest doliczana do wyniku finału. Uczestnik zachowuje prawo do racjonalnego dostosowania jej warunków.</w:t>
      </w:r>
    </w:p>
    <w:p>
      <w:pPr>
        <w:numPr>
          <w:ilvl w:val="0"/>
          <w:numId w:val="24"/>
        </w:numPr>
        <w:pStyle w:val="RegulationClause"/>
        <w:keepLines/>
        <w:widowControl/>
      </w:pPr>
      <w:r>
        <w:t>Nieusprawiedliwiona nieobecność oznacza rezygnację z dalszego udziału. W udokumentowanym przypadku losowym Jury może wyznaczyć termin dodatkowy, o ile nie opóźni to organizacji finału i nie naruszy równego traktowania.</w:t>
      </w:r>
    </w:p>
    <w:p>
      <w:pPr>
        <w:pStyle w:val="Heading2"/>
        <w:keepNext/>
        <w:keepLines/>
        <w:widowControl/>
      </w:pPr>
      <w:r>
        <w:t>§ 13. Etap II - finał stacjonarny</w:t>
      </w:r>
    </w:p>
    <w:p>
      <w:pPr>
        <w:numPr>
          <w:ilvl w:val="0"/>
          <w:numId w:val="25"/>
        </w:numPr>
        <w:pStyle w:val="RegulationClause"/>
        <w:keepLines/>
        <w:widowControl/>
      </w:pPr>
      <w:r>
        <w:t>Finał odbywa się stacjonarnie w miejscu i terminie wskazanym w harmonogramie, w warunkach kontrolowanej samodzielności.</w:t>
      </w:r>
    </w:p>
    <w:p>
      <w:pPr>
        <w:numPr>
          <w:ilvl w:val="0"/>
          <w:numId w:val="25"/>
        </w:numPr>
        <w:pStyle w:val="RegulationClause"/>
        <w:keepLines/>
        <w:widowControl/>
      </w:pPr>
      <w:r>
        <w:t>Do finału dopuszcza się uczestników zakwalifikowanych na podstawie wyniku Etapu I albo końcowego wyniku kwalifikacyjnego po rozmowie. Uczestnik okazuje dokument ze zdjęciem potwierdzający tożsamość i status ucznia.</w:t>
      </w:r>
    </w:p>
    <w:p>
      <w:pPr>
        <w:numPr>
          <w:ilvl w:val="0"/>
          <w:numId w:val="25"/>
        </w:numPr>
        <w:pStyle w:val="RegulationClause"/>
        <w:keepLines/>
        <w:widowControl/>
      </w:pPr>
      <w:r>
        <w:t>Finał może obejmować zadania teoretyczne, obliczeniowe, problemowe, programistyczne, analizę danych lub część doświadczalną. Liczbę sesji, czas, wyposażenie i zasady oddawania prac określają ZOZ.</w:t>
      </w:r>
    </w:p>
    <w:p>
      <w:pPr>
        <w:numPr>
          <w:ilvl w:val="0"/>
          <w:numId w:val="25"/>
        </w:numPr>
        <w:pStyle w:val="RegulationClause"/>
        <w:keepLines/>
        <w:widowControl/>
      </w:pPr>
      <w:r>
        <w:t>Podczas finału wolno korzystać wyłącznie z materiałów, urządzeń i oprogramowania dopuszczonych przez Organizatora. Telefony, zegarki komunikujące się z siecią, prywatne nośniki danych i komunikacja z innymi osobami są zabronione.</w:t>
      </w:r>
    </w:p>
    <w:p>
      <w:pPr>
        <w:numPr>
          <w:ilvl w:val="0"/>
          <w:numId w:val="25"/>
        </w:numPr>
        <w:pStyle w:val="RegulationClause"/>
        <w:keepLines/>
        <w:widowControl/>
      </w:pPr>
      <w:r>
        <w:t>Nadzór organizacyjny sprawuje komisja finałowa powołana przez Organizatora. Komisja dokumentuje spóźnienia, awarie, przerwy, naruszenia i inne zdarzenia mogące wpłynąć na wynik.</w:t>
      </w:r>
    </w:p>
    <w:p>
      <w:pPr>
        <w:numPr>
          <w:ilvl w:val="0"/>
          <w:numId w:val="25"/>
        </w:numPr>
        <w:pStyle w:val="RegulationClause"/>
        <w:keepLines/>
        <w:widowControl/>
      </w:pPr>
      <w:r>
        <w:t>W razie awarii niezawinionej przez uczestnika komisja może przedłużyć jego czas o okres faktycznej przerwy albo zastosować inne proporcjonalne rozwiązanie, odnotowane w protokole.</w:t>
      </w:r>
    </w:p>
    <w:p>
      <w:pPr>
        <w:numPr>
          <w:ilvl w:val="0"/>
          <w:numId w:val="25"/>
        </w:numPr>
        <w:pStyle w:val="RegulationClause"/>
        <w:keepLines/>
        <w:widowControl/>
      </w:pPr>
      <w:r>
        <w:t>Osoba zakwalifikowana, która przystąpi do finału i odda co najmniej jedną pracę podlegającą ocenie, uzyskuje wewnętrzny tytuł finalisty Olimpiady, chyba że zostanie zdyskwalifikowana.</w:t>
      </w:r>
    </w:p>
    <w:p>
      <w:pPr>
        <w:pStyle w:val="Heading1"/>
        <w:keepNext/>
        <w:keepLines/>
        <w:widowControl/>
      </w:pPr>
      <w:r>
        <w:t>Rozdział VI. Wyniki, tytuły i odwołania</w:t>
      </w:r>
    </w:p>
    <w:p>
      <w:pPr>
        <w:pStyle w:val="Heading2"/>
        <w:keepNext/>
        <w:keepLines/>
        <w:widowControl/>
      </w:pPr>
      <w:r>
        <w:t>§ 14. Wyniki finału i tytuły</w:t>
      </w:r>
    </w:p>
    <w:p>
      <w:pPr>
        <w:numPr>
          <w:ilvl w:val="0"/>
          <w:numId w:val="26"/>
        </w:numPr>
        <w:pStyle w:val="RegulationClause"/>
        <w:keepLines/>
        <w:widowControl/>
      </w:pPr>
      <w:r>
        <w:t>Wynik Olimpiady ustala się wyłącznie na podstawie punktów uzyskanych w finale. Punkty Etapu I i rozmowy kwalifikacyjnej nie są doliczane do klasyfikacji finałowej.</w:t>
      </w:r>
    </w:p>
    <w:p>
      <w:pPr>
        <w:numPr>
          <w:ilvl w:val="0"/>
          <w:numId w:val="26"/>
        </w:numPr>
        <w:pStyle w:val="RegulationClause"/>
        <w:keepLines/>
        <w:widowControl/>
      </w:pPr>
      <w:r>
        <w:t>Laureatem może zostać finalista sklasyfikowany w pierwszej połowie uczestników finału, którego wynik Jury uzna za wyróżniający. ZOZ mogą określić dodatkowy minimalny próg punktowy.</w:t>
      </w:r>
    </w:p>
    <w:p>
      <w:pPr>
        <w:numPr>
          <w:ilvl w:val="0"/>
          <w:numId w:val="26"/>
        </w:numPr>
        <w:pStyle w:val="RegulationClause"/>
        <w:keepLines/>
        <w:widowControl/>
      </w:pPr>
      <w:r>
        <w:t>Jury może przyznać miejsca, medale, nagrody specjalne i wyróżnienia. Zwycięzcą jest uczestnik z najwyższym końcowym wynikiem; przy remisie tytuł zwycięzcy może otrzymać więcej niż jedna osoba albo stosuje się regułę rozstrzygającą opublikowaną w ZOZ.</w:t>
      </w:r>
    </w:p>
    <w:p>
      <w:pPr>
        <w:numPr>
          <w:ilvl w:val="0"/>
          <w:numId w:val="26"/>
        </w:numPr>
        <w:pStyle w:val="RegulationClause"/>
        <w:keepLines/>
        <w:widowControl/>
      </w:pPr>
      <w:r>
        <w:t>Tytuły finalisty i laureata mają charakter wewnętrzny i potwierdzają wynik w konkursie organizowanym przez Fundację Quantum AI. Nie są równoznaczne z ustawowym tytułem laureata lub finalisty olimpiady przedmiotowej, dopóki właściwe przepisy lub decyzje nie przyznają im takiego skutku.</w:t>
      </w:r>
    </w:p>
    <w:p>
      <w:pPr>
        <w:numPr>
          <w:ilvl w:val="0"/>
          <w:numId w:val="26"/>
        </w:numPr>
        <w:pStyle w:val="RegulationClause"/>
        <w:keepLines/>
        <w:widowControl/>
      </w:pPr>
      <w:r>
        <w:t>Organizator wydaje dyplomy lub zaświadczenia według własnego wzoru i może przyznać nagrody rzeczowe, finansowe, stażowe albo edukacyjne. Informację o nagrodach publikuje przed finałem lub wraz z wynikami.</w:t>
      </w:r>
    </w:p>
    <w:p>
      <w:pPr>
        <w:pStyle w:val="Heading2"/>
        <w:keepNext/>
        <w:keepLines/>
        <w:widowControl/>
      </w:pPr>
      <w:r>
        <w:t>§ 15. Ogłaszanie wyników</w:t>
      </w:r>
    </w:p>
    <w:p>
      <w:pPr>
        <w:numPr>
          <w:ilvl w:val="0"/>
          <w:numId w:val="27"/>
        </w:numPr>
        <w:pStyle w:val="RegulationClause"/>
        <w:keepLines/>
        <w:widowControl/>
      </w:pPr>
      <w:r>
        <w:t>Po każdym etapie uczestnik otrzymuje dostęp do swojej punktacji i, w zakresie możliwym bez ujawnienia poufnych materiałów, informacji o sposobie oceny.</w:t>
      </w:r>
    </w:p>
    <w:p>
      <w:pPr>
        <w:numPr>
          <w:ilvl w:val="0"/>
          <w:numId w:val="27"/>
        </w:numPr>
        <w:pStyle w:val="RegulationClause"/>
        <w:keepLines/>
        <w:widowControl/>
      </w:pPr>
      <w:r>
        <w:t>Wyniki wstępne stają się ostateczne po zakończeniu procedury reklamacyjnej i zatwierdzeniu przez Jury.</w:t>
      </w:r>
    </w:p>
    <w:p>
      <w:pPr>
        <w:numPr>
          <w:ilvl w:val="0"/>
          <w:numId w:val="27"/>
        </w:numPr>
        <w:pStyle w:val="RegulationClause"/>
        <w:keepLines/>
        <w:widowControl/>
      </w:pPr>
      <w:r>
        <w:t>Listy osób zakwalifikowanych, finalistów, laureatów i wyróżnionych mogą zawierać imię, nazwisko, szkołę, miejscowość, klasę i wynik wyłącznie na podstawie właściwej podstawy prawnej i zgodnie z informacją RODO.</w:t>
      </w:r>
    </w:p>
    <w:p>
      <w:pPr>
        <w:numPr>
          <w:ilvl w:val="0"/>
          <w:numId w:val="27"/>
        </w:numPr>
        <w:pStyle w:val="RegulationClause"/>
        <w:keepLines/>
        <w:widowControl/>
      </w:pPr>
      <w:r>
        <w:t>Organizator może sprostować oczywistą omyłkę w opublikowanej liście. Zmiana merytoryczna wyniku wymaga protokołu Jury.</w:t>
      </w:r>
    </w:p>
    <w:p>
      <w:pPr>
        <w:pStyle w:val="Heading2"/>
        <w:keepNext/>
        <w:keepLines/>
        <w:widowControl/>
      </w:pPr>
      <w:r>
        <w:t>§ 16. Reklamacje i odwołania</w:t>
      </w:r>
    </w:p>
    <w:p>
      <w:pPr>
        <w:numPr>
          <w:ilvl w:val="0"/>
          <w:numId w:val="28"/>
        </w:numPr>
        <w:pStyle w:val="RegulationClause"/>
        <w:keepLines/>
        <w:widowControl/>
      </w:pPr>
      <w:r>
        <w:t>Uczestnik może w terminie 3 dni roboczych od udostępnienia wyniku wstępnego złożyć przez system reklamację dotyczącą błędu w ocenie, nieuwzględnienia części pracy albo nieprawidłowości organizacyjnej mającej wpływ na jego wynik.</w:t>
      </w:r>
    </w:p>
    <w:p>
      <w:pPr>
        <w:numPr>
          <w:ilvl w:val="0"/>
          <w:numId w:val="28"/>
        </w:numPr>
        <w:pStyle w:val="RegulationClause"/>
        <w:keepLines/>
        <w:widowControl/>
      </w:pPr>
      <w:r>
        <w:t>Reklamacja wskazuje zadanie lub zdarzenie, kwestionowany element oraz konkretne uzasadnienie. Sama niezgoda z poziomem trudności, modelem rozwiązania lub opublikowanym kryterium nie jest wystarczająca bez wskazania błędu w jego zastosowaniu.</w:t>
      </w:r>
    </w:p>
    <w:p>
      <w:pPr>
        <w:numPr>
          <w:ilvl w:val="0"/>
          <w:numId w:val="28"/>
        </w:numPr>
        <w:pStyle w:val="RegulationClause"/>
        <w:keepLines/>
        <w:widowControl/>
      </w:pPr>
      <w:r>
        <w:t>Reklamację rozpoznaje co najmniej dwuosobowy zespół Jury, w którego skład w miarę możliwości nie wchodzą osoby dokonujące pierwotnej oceny. Zespół może podwyższyć, utrzymać albo obniżyć punktację, jeżeli ponowna ocena ujawni błąd.</w:t>
      </w:r>
    </w:p>
    <w:p>
      <w:pPr>
        <w:numPr>
          <w:ilvl w:val="0"/>
          <w:numId w:val="28"/>
        </w:numPr>
        <w:pStyle w:val="RegulationClause"/>
        <w:keepLines/>
        <w:widowControl/>
      </w:pPr>
      <w:r>
        <w:t>Odpowiedź wraz z krótkim uzasadnieniem przekazuje się co do zasady w ciągu 7 dni roboczych. Decyzja Jury w sprawie oceny jest ostateczna w toku Olimpiady.</w:t>
      </w:r>
    </w:p>
    <w:p>
      <w:pPr>
        <w:numPr>
          <w:ilvl w:val="0"/>
          <w:numId w:val="28"/>
        </w:numPr>
        <w:pStyle w:val="RegulationClause"/>
        <w:keepLines/>
        <w:widowControl/>
      </w:pPr>
      <w:r>
        <w:t>Od decyzji o dyskwalifikacji uczestnik może w terminie 5 dni roboczych odwołać się do Zarządu Fundacji Quantum AI. Odwołanie rozpoznaje osoba, która nie uczestniczyła w wydaniu zaskarżonej decyzji, albo powołany przez Zarząd zespół odwoławczy. Decyzja Zarządu jest ostateczna.</w:t>
      </w:r>
    </w:p>
    <w:p>
      <w:pPr>
        <w:pStyle w:val="Heading1"/>
        <w:keepNext/>
        <w:keepLines/>
        <w:widowControl/>
      </w:pPr>
      <w:r>
        <w:t>Rozdział VII. Uczciwość i bezpieczeństwo</w:t>
      </w:r>
    </w:p>
    <w:p>
      <w:pPr>
        <w:pStyle w:val="Heading2"/>
        <w:keepNext/>
        <w:keepLines/>
        <w:widowControl/>
      </w:pPr>
      <w:r>
        <w:t>§ 17. Samodzielność i naruszenia</w:t>
      </w:r>
    </w:p>
    <w:p>
      <w:pPr>
        <w:numPr>
          <w:ilvl w:val="0"/>
          <w:numId w:val="29"/>
        </w:numPr>
        <w:pStyle w:val="RegulationClause"/>
        <w:keepLines/>
        <w:widowControl/>
      </w:pPr>
      <w:r>
        <w:t>Za naruszenie Regulaminu uważa się w szczególności:</w:t>
      </w:r>
    </w:p>
    <w:p>
      <w:pPr>
        <w:numPr>
          <w:ilvl w:val="0"/>
          <w:numId w:val="30"/>
        </w:numPr>
        <w:pStyle w:val="RegulationBullet"/>
        <w:keepLines/>
        <w:widowControl/>
      </w:pPr>
      <w:r>
        <w:t>plagiat, niedozwoloną współpracę, udostępnienie pracy lub wykorzystanie cudzej pracy;</w:t>
      </w:r>
    </w:p>
    <w:p>
      <w:pPr>
        <w:numPr>
          <w:ilvl w:val="0"/>
          <w:numId w:val="30"/>
        </w:numPr>
        <w:pStyle w:val="RegulationBullet"/>
        <w:keepLines/>
        <w:widowControl/>
      </w:pPr>
      <w:r>
        <w:t>podszywanie się pod inną osobę albo umożliwienie innej osobie udziału na swoim koncie;</w:t>
      </w:r>
    </w:p>
    <w:p>
      <w:pPr>
        <w:numPr>
          <w:ilvl w:val="0"/>
          <w:numId w:val="30"/>
        </w:numPr>
        <w:pStyle w:val="RegulationBullet"/>
        <w:keepLines/>
        <w:widowControl/>
      </w:pPr>
      <w:r>
        <w:t>użycie niedozwolonych materiałów, urządzeń, oprogramowania lub generatywnej sztucznej inteligencji;</w:t>
      </w:r>
    </w:p>
    <w:p>
      <w:pPr>
        <w:numPr>
          <w:ilvl w:val="0"/>
          <w:numId w:val="30"/>
        </w:numPr>
        <w:pStyle w:val="RegulationBullet"/>
        <w:keepLines/>
        <w:widowControl/>
      </w:pPr>
      <w:r>
        <w:t>próbę uzyskania nieuprawnionego dostępu do zadań, systemu, danych lub kont innych osób;</w:t>
      </w:r>
    </w:p>
    <w:p>
      <w:pPr>
        <w:numPr>
          <w:ilvl w:val="0"/>
          <w:numId w:val="30"/>
        </w:numPr>
        <w:pStyle w:val="RegulationBullet"/>
        <w:keepLines/>
        <w:widowControl/>
      </w:pPr>
      <w:r>
        <w:t>fałszowanie danych, dowodów, wyników lub dokumentów;</w:t>
      </w:r>
    </w:p>
    <w:p>
      <w:pPr>
        <w:numPr>
          <w:ilvl w:val="0"/>
          <w:numId w:val="30"/>
        </w:numPr>
        <w:pStyle w:val="RegulationBullet"/>
        <w:keepLines/>
        <w:widowControl/>
      </w:pPr>
      <w:r>
        <w:t>zakłócanie zawodów, przemoc, nękanie lub naruszenie Standardów ochrony małoletnich.</w:t>
      </w:r>
    </w:p>
    <w:p>
      <w:pPr>
        <w:numPr>
          <w:ilvl w:val="0"/>
          <w:numId w:val="29"/>
        </w:numPr>
        <w:pStyle w:val="RegulationClause"/>
        <w:keepLines/>
        <w:widowControl/>
      </w:pPr>
      <w:r>
        <w:t>W razie uzasadnionego podejrzenia Jury może poprosić uczestnika o wyjaśnienie toku rozwiązania lub przeprowadzić rozmowę weryfikującą samodzielność. Taka rozmowa nie jest rozmową kwalifikacyjną z § 12 i nie służy poprawianiu wyniku.</w:t>
      </w:r>
    </w:p>
    <w:p>
      <w:pPr>
        <w:numPr>
          <w:ilvl w:val="0"/>
          <w:numId w:val="29"/>
        </w:numPr>
        <w:pStyle w:val="RegulationClause"/>
        <w:keepLines/>
        <w:widowControl/>
      </w:pPr>
      <w:r>
        <w:t>Przed nałożeniem sankcji uczestnik otrzymuje możliwość przedstawienia wyjaśnień, chyba że konieczne jest natychmiastowe działanie dla ochrony bezpieczeństwa lub integralności zawodów.</w:t>
      </w:r>
    </w:p>
    <w:p>
      <w:pPr>
        <w:numPr>
          <w:ilvl w:val="0"/>
          <w:numId w:val="29"/>
        </w:numPr>
        <w:pStyle w:val="RegulationClause"/>
        <w:keepLines/>
        <w:widowControl/>
      </w:pPr>
      <w:r>
        <w:t>Sankcje obejmują ostrzeżenie, anulowanie punktów za zadanie, anulowanie wyniku etapu, niedopuszczenie do finału, dyskwalifikację z edycji oraz wykluczenie z kolejnej edycji. Sankcja powinna być proporcjonalna do wagi, skutków i umyślności naruszenia.</w:t>
      </w:r>
    </w:p>
    <w:p>
      <w:pPr>
        <w:numPr>
          <w:ilvl w:val="0"/>
          <w:numId w:val="29"/>
        </w:numPr>
        <w:pStyle w:val="RegulationClause"/>
        <w:keepLines/>
        <w:widowControl/>
      </w:pPr>
      <w:r>
        <w:t>Organizator może poinformować szkołę lub rodzica albo opiekuna prawnego o poważnym naruszeniu, z poszanowaniem przepisów o ochronie danych.</w:t>
      </w:r>
    </w:p>
    <w:p>
      <w:pPr>
        <w:pStyle w:val="Heading2"/>
        <w:keepNext/>
        <w:keepLines/>
        <w:widowControl/>
      </w:pPr>
      <w:r>
        <w:t>§ 18. Ochrona małoletnich i zasady zachowania</w:t>
      </w:r>
    </w:p>
    <w:p>
      <w:pPr>
        <w:numPr>
          <w:ilvl w:val="0"/>
          <w:numId w:val="31"/>
        </w:numPr>
        <w:pStyle w:val="RegulationClause"/>
        <w:keepLines/>
        <w:widowControl/>
      </w:pPr>
      <w:r>
        <w:t>Wszystkie osoby działające w imieniu Organizatora przestrzegają Standardów ochrony małoletnich opublikowanych na stronie Olimpiady.</w:t>
      </w:r>
    </w:p>
    <w:p>
      <w:pPr>
        <w:numPr>
          <w:ilvl w:val="0"/>
          <w:numId w:val="31"/>
        </w:numPr>
        <w:pStyle w:val="RegulationClause"/>
        <w:keepLines/>
        <w:widowControl/>
      </w:pPr>
      <w:r>
        <w:t>Uczestnicy są zobowiązani do poszanowania godności, prywatności, bezpieczeństwa i praw innych osób. Zabronione są przemoc, dyskryminacja, molestowanie, hejt i odwet wobec osoby zgłaszającej nieprawidłowość.</w:t>
      </w:r>
    </w:p>
    <w:p>
      <w:pPr>
        <w:numPr>
          <w:ilvl w:val="0"/>
          <w:numId w:val="31"/>
        </w:numPr>
        <w:pStyle w:val="RegulationClause"/>
        <w:keepLines/>
        <w:widowControl/>
      </w:pPr>
      <w:r>
        <w:t>Zagrożenie lub podejrzenie krzywdzenia można zgłosić członkowi komisji, Organizatorowi na adres contact@qaif.org albo pod numerem wskazanym w Standardach. W bezpośrednim zagrożeniu życia lub zdrowia należy zadzwonić pod numer 112.</w:t>
      </w:r>
    </w:p>
    <w:p>
      <w:pPr>
        <w:numPr>
          <w:ilvl w:val="0"/>
          <w:numId w:val="31"/>
        </w:numPr>
        <w:pStyle w:val="RegulationClause"/>
        <w:keepLines/>
        <w:widowControl/>
      </w:pPr>
      <w:r>
        <w:t>Organizator może usunąć z wydarzenia osobę stwarzającą zagrożenie, niezależnie od dalszego postępowania wyjaśniającego.</w:t>
      </w:r>
    </w:p>
    <w:p>
      <w:pPr>
        <w:pStyle w:val="Heading1"/>
        <w:keepNext/>
        <w:keepLines/>
        <w:widowControl/>
      </w:pPr>
      <w:r>
        <w:t>Rozdział VIII. Dane, prawa autorskie i dokumentacja</w:t>
      </w:r>
    </w:p>
    <w:p>
      <w:pPr>
        <w:pStyle w:val="Heading2"/>
        <w:keepNext/>
        <w:keepLines/>
        <w:widowControl/>
      </w:pPr>
      <w:r>
        <w:t>§ 19. Dane osobowe</w:t>
      </w:r>
    </w:p>
    <w:p>
      <w:pPr>
        <w:numPr>
          <w:ilvl w:val="0"/>
          <w:numId w:val="32"/>
        </w:numPr>
        <w:pStyle w:val="RegulationClause"/>
        <w:keepLines/>
        <w:widowControl/>
      </w:pPr>
      <w:r>
        <w:t>Administratorem danych osobowych jest Fundacja Quantum AI. Szczegółowe cele, podstawy, okresy przechowywania, odbiorców oraz prawa osób określa informacja RODO dostępna na stronie Olimpiady.</w:t>
      </w:r>
    </w:p>
    <w:p>
      <w:pPr>
        <w:numPr>
          <w:ilvl w:val="0"/>
          <w:numId w:val="32"/>
        </w:numPr>
        <w:pStyle w:val="RegulationClause"/>
        <w:keepLines/>
        <w:widowControl/>
      </w:pPr>
      <w:r>
        <w:t>Dane są przetwarzane w zakresie niezbędnym do rejestracji, przeprowadzenia i zabezpieczenia zawodów, oceny prac, rozpatrywania reklamacji, wydania dokumentów, publikacji wyników oraz realizacji obowiązków prawnych.</w:t>
      </w:r>
    </w:p>
    <w:p>
      <w:pPr>
        <w:numPr>
          <w:ilvl w:val="0"/>
          <w:numId w:val="32"/>
        </w:numPr>
        <w:pStyle w:val="RegulationClause"/>
        <w:keepLines/>
        <w:widowControl/>
      </w:pPr>
      <w:r>
        <w:t>Prace są udostępniane oceniającym pod anonimowym kodem. Dostęp do danych identyfikacyjnych otrzymują wyłącznie osoby upoważnione.</w:t>
      </w:r>
    </w:p>
    <w:p>
      <w:pPr>
        <w:numPr>
          <w:ilvl w:val="0"/>
          <w:numId w:val="32"/>
        </w:numPr>
        <w:pStyle w:val="RegulationClause"/>
        <w:keepLines/>
        <w:widowControl/>
      </w:pPr>
      <w:r>
        <w:t>Jeżeli rozmowa zdalna jest nagrywana dla zapewnienia rozliczalności, uczestnik zostaje o tym wcześniej poinformowany, a nagranie jest przechowywane nie dłużej niż do zakończenia procedury reklamacyjnej, chyba że jest potrzebne do ustalenia lub obrony roszczeń.</w:t>
      </w:r>
    </w:p>
    <w:p>
      <w:pPr>
        <w:pStyle w:val="Heading2"/>
        <w:keepNext/>
        <w:keepLines/>
        <w:widowControl/>
      </w:pPr>
      <w:r>
        <w:t>§ 20. Prawa autorskie</w:t>
      </w:r>
    </w:p>
    <w:p>
      <w:pPr>
        <w:numPr>
          <w:ilvl w:val="0"/>
          <w:numId w:val="33"/>
        </w:numPr>
        <w:pStyle w:val="RegulationClause"/>
        <w:keepLines/>
        <w:widowControl/>
      </w:pPr>
      <w:r>
        <w:t>Autorskie prawa osobiste i majątkowe do oryginalnego rozwiązania pozostają przy uczestniku, z zastrzeżeniem praw osób trzecich i postanowień niniejszego paragrafu.</w:t>
      </w:r>
    </w:p>
    <w:p>
      <w:pPr>
        <w:numPr>
          <w:ilvl w:val="0"/>
          <w:numId w:val="33"/>
        </w:numPr>
        <w:pStyle w:val="RegulationClause"/>
        <w:keepLines/>
        <w:widowControl/>
      </w:pPr>
      <w:r>
        <w:t>Przesyłając pracę, uczestnik udziela Organizatorowi niewyłącznej, nieodpłatnej, terytorialnie nieograniczonej licencji na czas 10 lat na utrwalanie, zwielokrotnianie, przechowywanie, ocenę, archiwizację oraz publikację pracy w celach edukacyjnych i promocyjnych Olimpiady, w całości lub we fragmentach, z oznaczeniem autora albo po anonimizacji.</w:t>
      </w:r>
    </w:p>
    <w:p>
      <w:pPr>
        <w:numPr>
          <w:ilvl w:val="0"/>
          <w:numId w:val="33"/>
        </w:numPr>
        <w:pStyle w:val="RegulationClause"/>
        <w:keepLines/>
        <w:widowControl/>
      </w:pPr>
      <w:r>
        <w:t>Publikacja rozwiązania przed zakończeniem etapu, jeśli może naruszyć równość zawodów, jest zabroniona. Po oficjalnym zakończeniu etapu uczestnik może rozpowszechniać własne rozwiązanie, o ile ZOZ nie określą krótkiego okresu poufności koniecznego do przeprowadzenia terminu dodatkowego.</w:t>
      </w:r>
    </w:p>
    <w:p>
      <w:pPr>
        <w:numPr>
          <w:ilvl w:val="0"/>
          <w:numId w:val="33"/>
        </w:numPr>
        <w:pStyle w:val="RegulationClause"/>
        <w:keepLines/>
        <w:widowControl/>
      </w:pPr>
      <w:r>
        <w:t>Prawa do zadań, oficjalnych rozwiązań, znaków i materiałów Organizatora przysługują ich twórcom lub Organizatorowi. Korzystanie z nich poza dozwolonym użytkiem wymaga zgody właściwego uprawnionego.</w:t>
      </w:r>
    </w:p>
    <w:p>
      <w:pPr>
        <w:pStyle w:val="Heading2"/>
        <w:keepNext/>
        <w:keepLines/>
        <w:widowControl/>
      </w:pPr>
      <w:r>
        <w:t>§ 21. Dokumentacja</w:t>
      </w:r>
    </w:p>
    <w:p>
      <w:pPr>
        <w:numPr>
          <w:ilvl w:val="0"/>
          <w:numId w:val="34"/>
        </w:numPr>
        <w:pStyle w:val="RegulationClause"/>
        <w:keepLines/>
        <w:widowControl/>
      </w:pPr>
      <w:r>
        <w:t>Organizator prowadzi dokumentację edycji obejmującą co najmniej Regulamin i ZOZ, program, zadania, modele rozwiązań i kryteria, protokoły, listy wyników, reklamacje, decyzje oraz rejestr wydanych dyplomów.</w:t>
      </w:r>
    </w:p>
    <w:p>
      <w:pPr>
        <w:numPr>
          <w:ilvl w:val="0"/>
          <w:numId w:val="34"/>
        </w:numPr>
        <w:pStyle w:val="RegulationClause"/>
        <w:keepLines/>
        <w:widowControl/>
      </w:pPr>
      <w:r>
        <w:t>Prace i dokumentację oceny przechowuje się przez okres wskazany w informacji RODO i polityce retencji, nie krócej jednak niż do prawomocnego zakończenia reklamacji dotyczących danej edycji.</w:t>
      </w:r>
    </w:p>
    <w:p>
      <w:pPr>
        <w:numPr>
          <w:ilvl w:val="0"/>
          <w:numId w:val="34"/>
        </w:numPr>
        <w:pStyle w:val="RegulationClause"/>
        <w:keepLines/>
        <w:widowControl/>
      </w:pPr>
      <w:r>
        <w:t>Dokumentacja zawierająca dane osobowe jest zabezpieczona przed dostępem osób nieuprawnionych.</w:t>
      </w:r>
    </w:p>
    <w:p>
      <w:pPr>
        <w:pStyle w:val="Heading1"/>
        <w:keepNext/>
        <w:keepLines/>
        <w:widowControl/>
      </w:pPr>
      <w:r>
        <w:t>Rozdział IX. Finansowanie i sytuacje nadzwyczajne</w:t>
      </w:r>
    </w:p>
    <w:p>
      <w:pPr>
        <w:pStyle w:val="Heading2"/>
        <w:keepNext/>
        <w:keepLines/>
        <w:widowControl/>
      </w:pPr>
      <w:r>
        <w:t>§ 22. Koszty i nagrody</w:t>
      </w:r>
    </w:p>
    <w:p>
      <w:pPr>
        <w:numPr>
          <w:ilvl w:val="0"/>
          <w:numId w:val="35"/>
        </w:numPr>
        <w:pStyle w:val="RegulationClause"/>
        <w:keepLines/>
        <w:widowControl/>
      </w:pPr>
      <w:r>
        <w:t>Organizator pokrywa koszty przygotowania i przeprowadzenia Olimpiady w granicach posiadanych środków, dotacji, darowizn i świadczeń partnerów.</w:t>
      </w:r>
    </w:p>
    <w:p>
      <w:pPr>
        <w:numPr>
          <w:ilvl w:val="0"/>
          <w:numId w:val="35"/>
        </w:numPr>
        <w:pStyle w:val="RegulationClause"/>
        <w:keepLines/>
        <w:widowControl/>
      </w:pPr>
      <w:r>
        <w:t>Informację o pokrywaniu kosztów przejazdu, zakwaterowania i wyżywienia finalistów podaje się w ZOZ lub zaproszeniu na finał. Brak takiej informacji oznacza, że Organizator nie zobowiązał się do ich pokrycia.</w:t>
      </w:r>
    </w:p>
    <w:p>
      <w:pPr>
        <w:numPr>
          <w:ilvl w:val="0"/>
          <w:numId w:val="35"/>
        </w:numPr>
        <w:pStyle w:val="RegulationClause"/>
        <w:keepLines/>
        <w:widowControl/>
      </w:pPr>
      <w:r>
        <w:t>Sponsorzy i partnerzy nie mają wpływu na treść zadań, ocenę prac ani wyniki, chyba że ich eksperci zostali jawnie powołani do Komitetu Merytorycznego i podlegają zasadom bezstronności.</w:t>
      </w:r>
    </w:p>
    <w:p>
      <w:pPr>
        <w:pStyle w:val="Heading2"/>
        <w:keepNext/>
        <w:keepLines/>
        <w:widowControl/>
      </w:pPr>
      <w:r>
        <w:t>§ 23. Awarie i siła wyższa</w:t>
      </w:r>
    </w:p>
    <w:p>
      <w:pPr>
        <w:numPr>
          <w:ilvl w:val="0"/>
          <w:numId w:val="36"/>
        </w:numPr>
        <w:pStyle w:val="RegulationClause"/>
        <w:keepLines/>
        <w:widowControl/>
      </w:pPr>
      <w:r>
        <w:t>W razie awarii systemu, klęski żywiołowej, epidemii, zagrożenia bezpieczeństwa, decyzji władz lub innego zdarzenia niezależnego od Organizatora może on zmienić termin, miejsce, formę albo czas zawodów, zawiesić etap, zarządzić jego powtórzenie lub unieważnić zadanie.</w:t>
      </w:r>
    </w:p>
    <w:p>
      <w:pPr>
        <w:numPr>
          <w:ilvl w:val="0"/>
          <w:numId w:val="36"/>
        </w:numPr>
        <w:pStyle w:val="RegulationClause"/>
        <w:keepLines/>
        <w:widowControl/>
      </w:pPr>
      <w:r>
        <w:t>Rozwiązanie powinno w możliwie największym stopniu zachować równość uczestników, proporcjonalność oraz porównywalność wyników. Decyzję wraz z krótkim uzasadnieniem publikuje się niezwłocznie.</w:t>
      </w:r>
    </w:p>
    <w:p>
      <w:pPr>
        <w:numPr>
          <w:ilvl w:val="0"/>
          <w:numId w:val="36"/>
        </w:numPr>
        <w:pStyle w:val="RegulationClause"/>
        <w:keepLines/>
        <w:widowControl/>
      </w:pPr>
      <w:r>
        <w:t>Jeżeli zdarzenie dotyczy pojedynczego uczestnika, Organizator może zastosować środek indywidualny tylko wtedy, gdy nie daje mu nieuzasadnionej przewagi i nie narusza praw innych osób.</w:t>
      </w:r>
    </w:p>
    <w:p>
      <w:pPr>
        <w:pStyle w:val="Heading1"/>
        <w:keepNext/>
        <w:keepLines/>
        <w:widowControl/>
      </w:pPr>
      <w:r>
        <w:t>Rozdział X. Postanowienia końcowe</w:t>
      </w:r>
    </w:p>
    <w:p>
      <w:pPr>
        <w:pStyle w:val="Heading2"/>
        <w:keepNext/>
        <w:keepLines/>
        <w:widowControl/>
      </w:pPr>
      <w:r>
        <w:t>§ 24. Wejście w życie i zmiany</w:t>
      </w:r>
    </w:p>
    <w:p>
      <w:pPr>
        <w:numPr>
          <w:ilvl w:val="0"/>
          <w:numId w:val="37"/>
        </w:numPr>
        <w:pStyle w:val="RegulationClause"/>
        <w:keepLines/>
        <w:widowControl/>
      </w:pPr>
      <w:r>
        <w:t>Regulamin wchodzi w życie z dniem zatwierdzenia uchwałą Zarządu Fundacji Quantum AI i ma zastosowanie do edycji wskazanych w uchwale.</w:t>
      </w:r>
    </w:p>
    <w:p>
      <w:pPr>
        <w:numPr>
          <w:ilvl w:val="0"/>
          <w:numId w:val="37"/>
        </w:numPr>
        <w:pStyle w:val="RegulationClause"/>
        <w:keepLines/>
        <w:widowControl/>
      </w:pPr>
      <w:r>
        <w:t>Zmiany Regulaminu ogłasza się przed rozpoczęciem rejestracji do danej edycji. Po jej rozpoczęciu dopuszczalne są jedynie zmiany konieczne z powodu prawa, bezpieczeństwa albo zdarzeń nadzwyczajnych, które nie pogarszają w sposób nieproporcjonalny sytuacji uczestników.</w:t>
      </w:r>
    </w:p>
    <w:p>
      <w:pPr>
        <w:numPr>
          <w:ilvl w:val="0"/>
          <w:numId w:val="37"/>
        </w:numPr>
        <w:pStyle w:val="RegulationClause"/>
        <w:keepLines/>
        <w:widowControl/>
      </w:pPr>
      <w:r>
        <w:t>W sprawach nieuregulowanych decyzje organizacyjne podejmuje Organizator po zasięgnięciu opinii właściwego Komitetu, z poszanowaniem zasad równości, bezstronności, przejrzystości i dobra małoletnich.</w:t>
      </w:r>
    </w:p>
    <w:p>
      <w:pPr>
        <w:numPr>
          <w:ilvl w:val="0"/>
          <w:numId w:val="37"/>
        </w:numPr>
        <w:pStyle w:val="RegulationClause"/>
        <w:keepLines/>
        <w:widowControl/>
      </w:pPr>
      <w:r>
        <w:t>Wersją wiążącą jest wersja polskojęzyczna opublikowana na stronie Olimpiady. Dokumenty danej edycji należy czytać łącznie: Regulamin, ZOZ, program merytoryczny, harmonogram, informację RODO i Standardy ochrony małoletnich.</w:t>
      </w:r>
    </w:p>
    <w:p>
      <w:pPr>
        <w:numPr>
          <w:ilvl w:val="0"/>
          <w:numId w:val="37"/>
        </w:numPr>
        <w:pStyle w:val="RegulationClause"/>
        <w:keepLines/>
        <w:widowControl/>
      </w:pPr>
      <w:r>
        <w:t>Kontakt z Organizatorem: contact@qaif.org; adres korespondencyjny: Fundacja Quantum AI, ul. Sanocka 9/103, 02-110 Warszawa.</w:t>
      </w:r>
    </w:p>
    <w:p>
      <w:pPr>
        <w:pStyle w:val="Heading1"/>
        <w:keepNext/>
        <w:keepLines/>
        <w:widowControl/>
        <w:pageBreakBefore/>
      </w:pPr>
      <w:r>
        <w:t>Źródła konstrukcji projektu</w:t>
      </w:r>
    </w:p>
    <w:p>
      <w:pPr>
        <w:keepLines/>
        <w:widowControl/>
      </w:pPr>
      <w:r>
        <w:t>Regulamin jest autorskim opracowaniem przygotowanym dla Olimpiady Kwantowej. Jego strukturę i mechanizmy organizacyjne oparto na następujących materiałach referencyjnych:</w:t>
      </w:r>
    </w:p>
    <w:p>
      <w:pPr>
        <w:numPr>
          <w:ilvl w:val="0"/>
          <w:numId w:val="38"/>
        </w:numPr>
        <w:pStyle w:val="RegulationBullet"/>
        <w:keepLines/>
        <w:widowControl/>
      </w:pPr>
      <w:r>
        <w:t xml:space="preserve">Regulamin Olimpiady Informatycznej - model organizacji, oceny i odwołań — </w:t>
      </w:r>
      <w:hyperlink r:id="rId13">
        <w:r>
          <w:rPr>
            <w:color w:val="2E74B5"/>
            <w:u w:val="single"/>
          </w:rPr>
          <w:t>https://www.oi.edu.pl/l/28oi_regulamin/</w:t>
        </w:r>
      </w:hyperlink>
    </w:p>
    <w:p>
      <w:pPr>
        <w:numPr>
          <w:ilvl w:val="0"/>
          <w:numId w:val="38"/>
        </w:numPr>
        <w:pStyle w:val="RegulationBullet"/>
        <w:keepLines/>
        <w:widowControl/>
      </w:pPr>
      <w:r>
        <w:t xml:space="preserve">Rozporządzenie w sprawie organizacji konkursów, turniejów i olimpiad - tekst jednolity — </w:t>
      </w:r>
      <w:hyperlink r:id="rId14">
        <w:r>
          <w:rPr>
            <w:color w:val="2E74B5"/>
            <w:u w:val="single"/>
          </w:rPr>
          <w:t>https://eli.gov.pl/api/acts/DU/2020/1036/text.html</w:t>
        </w:r>
      </w:hyperlink>
    </w:p>
    <w:p>
      <w:pPr>
        <w:numPr>
          <w:ilvl w:val="0"/>
          <w:numId w:val="38"/>
        </w:numPr>
        <w:pStyle w:val="RegulationBullet"/>
        <w:keepLines/>
        <w:widowControl/>
      </w:pPr>
      <w:r>
        <w:t xml:space="preserve">Ramowy wzór regulaminu olimpiady MEN, konkurs ofert 2025-2028 — </w:t>
      </w:r>
      <w:hyperlink r:id="rId15">
        <w:r>
          <w:rPr>
            <w:color w:val="2E74B5"/>
            <w:u w:val="single"/>
          </w:rPr>
          <w:t>https://www.gov.pl/web/edukacja/otwarty-konkurs-ofert-na-realizacje-zadania-publicznego-pn-organizacja-i-przeprowadzenie-olimpiad-przedmiotowych-i-interdyscyplinarnych-w-latach-szkolnych-20252026-20262027-20272028</w:t>
        </w:r>
      </w:hyperlink>
    </w:p>
    <w:p>
      <w:pPr>
        <w:numPr>
          <w:ilvl w:val="0"/>
          <w:numId w:val="38"/>
        </w:numPr>
        <w:pStyle w:val="RegulationBullet"/>
        <w:keepLines/>
        <w:widowControl/>
      </w:pPr>
      <w:r>
        <w:t xml:space="preserve">Dane organizatora - Fundacja Quantum AI — </w:t>
      </w:r>
      <w:hyperlink r:id="rId16">
        <w:r>
          <w:rPr>
            <w:color w:val="2E74B5"/>
            <w:u w:val="single"/>
          </w:rPr>
          <w:t>https://www.qaif.org/contact</w:t>
        </w:r>
      </w:hyperlink>
    </w:p>
    <w:p>
      <w:pPr>
        <w:pStyle w:val="Heading1"/>
        <w:keepNext/>
        <w:keepLines/>
        <w:widowControl/>
      </w:pPr>
      <w:r>
        <w:t>Zatwierdzenie</w:t>
      </w:r>
    </w:p>
    <w:p>
      <w:pPr>
        <w:spacing w:after="240"/>
        <w:widowControl/>
      </w:pPr>
      <w:r>
        <w:t>Do uzupełnienia przy przyjęciu Regulaminu przez Organizatora:</w:t>
      </w:r>
    </w:p>
    <w:tbl>
      <w:tblPr>
        <w:tblW w:type="auto" w:w="0"/>
        <w:jc w:val="left"/>
        <w:tblLayout w:type="fixed"/>
        <w:tblLook w:firstColumn="1" w:firstRow="1" w:lastColumn="0" w:lastRow="0" w:noHBand="0" w:noVBand="1" w:val="04A0"/>
      </w:tblPr>
      <w:tblGrid>
        <w:gridCol w:w="3024"/>
        <w:gridCol w:w="6336"/>
      </w:tblGrid>
      <w:tr>
        <w:tc>
          <w:tcPr>
            <w:tcW w:type="dxa" w:w="4680"/>
            <w:tcMar>
              <w:top w:w="160" w:type="dxa"/>
              <w:start w:w="160" w:type="dxa"/>
              <w:bottom w:w="160" w:type="dxa"/>
              <w:end w:w="160" w:type="dxa"/>
            </w:tcMar>
            <w:shd w:fill="DCE6F1"/>
          </w:tcPr>
          <w:p>
            <w:r>
              <w:rPr>
                <w:rFonts w:ascii="Calibri" w:hAnsi="Calibri" w:eastAsia="Calibri"/>
                <w:b/>
                <w:i w:val="0"/>
                <w:color w:val="17365D"/>
                <w:sz w:val="19"/>
              </w:rPr>
              <w:t>Numer uchwały</w:t>
            </w:r>
          </w:p>
        </w:tc>
        <w:tc>
          <w:tcPr>
            <w:tcW w:type="dxa" w:w="4680"/>
            <w:tcMar>
              <w:top w:w="160" w:type="dxa"/>
              <w:start w:w="160" w:type="dxa"/>
              <w:bottom w:w="160" w:type="dxa"/>
              <w:end w:w="160" w:type="dxa"/>
            </w:tcMar>
          </w:tcPr>
          <w:p>
            <w:r>
              <w:rPr>
                <w:rFonts w:ascii="Calibri" w:hAnsi="Calibri" w:eastAsia="Calibri"/>
                <w:b w:val="0"/>
                <w:i w:val="0"/>
                <w:color w:val="56616F"/>
                <w:sz w:val="19"/>
              </w:rPr>
              <w:t>………………………………………………………………</w:t>
            </w:r>
          </w:p>
        </w:tc>
      </w:tr>
      <w:tr>
        <w:tc>
          <w:tcPr>
            <w:tcW w:type="dxa" w:w="4680"/>
            <w:tcMar>
              <w:top w:w="160" w:type="dxa"/>
              <w:start w:w="160" w:type="dxa"/>
              <w:bottom w:w="160" w:type="dxa"/>
              <w:end w:w="160" w:type="dxa"/>
            </w:tcMar>
            <w:shd w:fill="DCE6F1"/>
          </w:tcPr>
          <w:p>
            <w:r>
              <w:rPr>
                <w:rFonts w:ascii="Calibri" w:hAnsi="Calibri" w:eastAsia="Calibri"/>
                <w:b/>
                <w:i w:val="0"/>
                <w:color w:val="17365D"/>
                <w:sz w:val="19"/>
              </w:rPr>
              <w:t>Data zatwierdzenia</w:t>
            </w:r>
          </w:p>
        </w:tc>
        <w:tc>
          <w:tcPr>
            <w:tcW w:type="dxa" w:w="4680"/>
            <w:tcMar>
              <w:top w:w="160" w:type="dxa"/>
              <w:start w:w="160" w:type="dxa"/>
              <w:bottom w:w="160" w:type="dxa"/>
              <w:end w:w="160" w:type="dxa"/>
            </w:tcMar>
          </w:tcPr>
          <w:p>
            <w:r>
              <w:rPr>
                <w:rFonts w:ascii="Calibri" w:hAnsi="Calibri" w:eastAsia="Calibri"/>
                <w:b w:val="0"/>
                <w:i w:val="0"/>
                <w:color w:val="56616F"/>
                <w:sz w:val="19"/>
              </w:rPr>
              <w:t>………………………………………………………………</w:t>
            </w:r>
          </w:p>
        </w:tc>
      </w:tr>
      <w:tr>
        <w:tc>
          <w:tcPr>
            <w:tcW w:type="dxa" w:w="4680"/>
            <w:tcMar>
              <w:top w:w="160" w:type="dxa"/>
              <w:start w:w="160" w:type="dxa"/>
              <w:bottom w:w="160" w:type="dxa"/>
              <w:end w:w="160" w:type="dxa"/>
            </w:tcMar>
            <w:shd w:fill="DCE6F1"/>
          </w:tcPr>
          <w:p>
            <w:r>
              <w:rPr>
                <w:rFonts w:ascii="Calibri" w:hAnsi="Calibri" w:eastAsia="Calibri"/>
                <w:b/>
                <w:i w:val="0"/>
                <w:color w:val="17365D"/>
                <w:sz w:val="19"/>
              </w:rPr>
              <w:t>Podpis / reprezentacja</w:t>
            </w:r>
          </w:p>
        </w:tc>
        <w:tc>
          <w:tcPr>
            <w:tcW w:type="dxa" w:w="4680"/>
            <w:tcMar>
              <w:top w:w="160" w:type="dxa"/>
              <w:start w:w="160" w:type="dxa"/>
              <w:bottom w:w="160" w:type="dxa"/>
              <w:end w:w="160" w:type="dxa"/>
            </w:tcMar>
          </w:tcPr>
          <w:p>
            <w:r>
              <w:rPr>
                <w:rFonts w:ascii="Calibri" w:hAnsi="Calibri" w:eastAsia="Calibri"/>
                <w:b w:val="0"/>
                <w:i w:val="0"/>
                <w:color w:val="56616F"/>
                <w:sz w:val="19"/>
              </w:rPr>
              <w:t>………………………………………………………………</w:t>
            </w:r>
          </w:p>
        </w:tc>
      </w:tr>
    </w:tbl>
    <w:sectPr w:rsidR="00FC693F" w:rsidRPr="0006063C" w:rsidSect="00034616">
      <w:headerReference w:type="default" r:id="rId9"/>
      <w:headerReference w:type="even" r:id="rId10"/>
      <w:footerReference w:type="default" r:id="rId11"/>
      <w:footerReference w:type="even" r:id="rId12"/>
      <w:pgSz w:w="12240" w:h="15840"/>
      <w:pgMar w:top="1224" w:right="1440" w:bottom="1080" w:left="1440"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56616F"/>
        <w:sz w:val="17"/>
      </w:rPr>
      <w:t xml:space="preserve">Fundacja Quantum AI   •   strona </w:t>
    </w:r>
    <w:r>
      <w:fldChar w:fldCharType="begin"/>
      <w:instrText xml:space="preserve"> PAGE </w:instrText>
      <w:fldChar w:fldCharType="separate"/>
      <w:fldChar w:fldCharType="end"/>
    </w:r>
    <w:r>
      <w:rPr>
        <w:rFonts w:ascii="Calibri" w:hAnsi="Calibri" w:eastAsia="Calibri"/>
        <w:b w:val="0"/>
        <w:i w:val="0"/>
        <w:color w:val="56616F"/>
        <w:sz w:val="17"/>
      </w:rPr>
      <w:t xml:space="preserve"> z </w:t>
    </w:r>
    <w:r>
      <w:fldChar w:fldCharType="begin"/>
      <w:instrText xml:space="preserve"> NUMPAGES </w:instrText>
      <w:fldChar w:fldCharType="separate"/>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56616F"/>
        <w:sz w:val="17"/>
      </w:rPr>
      <w:t xml:space="preserve">Fundacja Quantum AI   •   strona </w:t>
    </w:r>
    <w:r>
      <w:fldChar w:fldCharType="begin"/>
      <w:instrText xml:space="preserve"> PAGE </w:instrText>
      <w:fldChar w:fldCharType="separate"/>
      <w:fldChar w:fldCharType="end"/>
    </w:r>
    <w:r>
      <w:rPr>
        <w:rFonts w:ascii="Calibri" w:hAnsi="Calibri" w:eastAsia="Calibri"/>
        <w:b w:val="0"/>
        <w:i w:val="0"/>
        <w:color w:val="56616F"/>
        <w:sz w:val="17"/>
      </w:rPr>
      <w:t xml:space="preserve"> z </w:t>
    </w:r>
    <w:r>
      <w:fldChar w:fldCharType="begin"/>
      <w:instrText xml:space="preserve"> NUMPAGES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jc w:val="left"/>
      <w:pBdr>
        <w:bottom w:val="single" w:sz="5" w:space="5" w:color="C8D6E5"/>
      </w:pBdr>
    </w:pPr>
    <w:r>
      <w:rPr>
        <w:rFonts w:ascii="Calibri" w:hAnsi="Calibri" w:eastAsia="Calibri"/>
        <w:b/>
        <w:i w:val="0"/>
        <w:color w:val="56616F"/>
        <w:sz w:val="17"/>
      </w:rPr>
      <w:t>OLIMPIADA KWANTOWA</w:t>
    </w:r>
    <w:r>
      <w:rPr>
        <w:rFonts w:ascii="Calibri" w:hAnsi="Calibri" w:eastAsia="Calibri"/>
        <w:b w:val="0"/>
        <w:i w:val="0"/>
        <w:color w:val="56616F"/>
        <w:sz w:val="17"/>
      </w:rPr>
      <w:tab/>
      <w:t>REGULAMIN · WERSJA 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jc w:val="left"/>
      <w:pBdr>
        <w:bottom w:val="single" w:sz="5" w:space="5" w:color="C8D6E5"/>
      </w:pBdr>
    </w:pPr>
    <w:r>
      <w:rPr>
        <w:rFonts w:ascii="Calibri" w:hAnsi="Calibri" w:eastAsia="Calibri"/>
        <w:b/>
        <w:i w:val="0"/>
        <w:color w:val="56616F"/>
        <w:sz w:val="17"/>
      </w:rPr>
      <w:t>OLIMPIADA KWANTOWA</w:t>
    </w:r>
    <w:r>
      <w:rPr>
        <w:rFonts w:ascii="Calibri" w:hAnsi="Calibri" w:eastAsia="Calibri"/>
        <w:b w:val="0"/>
        <w:i w:val="0"/>
        <w:color w:val="56616F"/>
        <w:sz w:val="17"/>
      </w:rPr>
      <w:tab/>
      <w:t>REGULAMIN · WERSJA 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1080"/>
        </w:tabs>
        <w:ind w:left="1080" w:hanging="360"/>
      </w:pPr>
    </w:lvl>
  </w:abstractNum>
  <w:num w:numId="10">
    <w:abstractNumId w:val="9"/>
  </w:num>
  <w:abstractNum w:abstractNumId="10">
    <w:multiLevelType w:val="singleLevel"/>
    <w:lvl w:ilvl="0">
      <w:start w:val="1"/>
      <w:numFmt w:val="decimal"/>
      <w:lvlText w:val="%1."/>
      <w:suff w:val="tab"/>
      <w:pPr>
        <w:tabs>
          <w:tab w:val="num" w:pos="720"/>
        </w:tabs>
        <w:ind w:left="720" w:hanging="360"/>
      </w:pPr>
    </w:lvl>
  </w:abstractNum>
  <w:num w:numId="11">
    <w:abstractNumId w:val="10"/>
  </w:num>
  <w:abstractNum w:abstractNumId="11">
    <w:multiLevelType w:val="singleLevel"/>
    <w:lvl w:ilvl="0">
      <w:start w:val="1"/>
      <w:numFmt w:val="decimal"/>
      <w:lvlText w:val="%1."/>
      <w:suff w:val="tab"/>
      <w:pPr>
        <w:tabs>
          <w:tab w:val="num" w:pos="720"/>
        </w:tabs>
        <w:ind w:left="720" w:hanging="360"/>
      </w:pPr>
    </w:lvl>
  </w:abstractNum>
  <w:num w:numId="12">
    <w:abstractNumId w:val="11"/>
  </w:num>
  <w:abstractNum w:abstractNumId="12">
    <w:multiLevelType w:val="singleLevel"/>
    <w:lvl w:ilvl="0">
      <w:start w:val="1"/>
      <w:numFmt w:val="bullet"/>
      <w:lvlText w:val="•"/>
      <w:suff w:val="tab"/>
      <w:pPr>
        <w:tabs>
          <w:tab w:val="num" w:pos="1080"/>
        </w:tabs>
        <w:ind w:left="1080" w:hanging="360"/>
      </w:pPr>
    </w:lvl>
  </w:abstractNum>
  <w:num w:numId="13">
    <w:abstractNumId w:val="12"/>
  </w:num>
  <w:abstractNum w:abstractNumId="13">
    <w:multiLevelType w:val="singleLevel"/>
    <w:lvl w:ilvl="0">
      <w:start w:val="1"/>
      <w:numFmt w:val="decimal"/>
      <w:lvlText w:val="%1."/>
      <w:suff w:val="tab"/>
      <w:pPr>
        <w:tabs>
          <w:tab w:val="num" w:pos="720"/>
        </w:tabs>
        <w:ind w:left="720" w:hanging="360"/>
      </w:pPr>
    </w:lvl>
  </w:abstractNum>
  <w:num w:numId="14">
    <w:abstractNumId w:val="13"/>
  </w:num>
  <w:abstractNum w:abstractNumId="14">
    <w:multiLevelType w:val="singleLevel"/>
    <w:lvl w:ilvl="0">
      <w:start w:val="1"/>
      <w:numFmt w:val="decimal"/>
      <w:lvlText w:val="%1."/>
      <w:suff w:val="tab"/>
      <w:pPr>
        <w:tabs>
          <w:tab w:val="num" w:pos="720"/>
        </w:tabs>
        <w:ind w:left="720" w:hanging="360"/>
      </w:pPr>
    </w:lvl>
  </w:abstractNum>
  <w:num w:numId="15">
    <w:abstractNumId w:val="14"/>
  </w:num>
  <w:abstractNum w:abstractNumId="15">
    <w:multiLevelType w:val="singleLevel"/>
    <w:lvl w:ilvl="0">
      <w:start w:val="1"/>
      <w:numFmt w:val="decimal"/>
      <w:lvlText w:val="%1."/>
      <w:suff w:val="tab"/>
      <w:pPr>
        <w:tabs>
          <w:tab w:val="num" w:pos="720"/>
        </w:tabs>
        <w:ind w:left="720" w:hanging="360"/>
      </w:pPr>
    </w:lvl>
  </w:abstractNum>
  <w:num w:numId="16">
    <w:abstractNumId w:val="15"/>
  </w:num>
  <w:abstractNum w:abstractNumId="16">
    <w:multiLevelType w:val="singleLevel"/>
    <w:lvl w:ilvl="0">
      <w:start w:val="1"/>
      <w:numFmt w:val="bullet"/>
      <w:lvlText w:val="•"/>
      <w:suff w:val="tab"/>
      <w:pPr>
        <w:tabs>
          <w:tab w:val="num" w:pos="1080"/>
        </w:tabs>
        <w:ind w:left="1080" w:hanging="360"/>
      </w:pPr>
    </w:lvl>
  </w:abstractNum>
  <w:num w:numId="17">
    <w:abstractNumId w:val="16"/>
  </w:num>
  <w:abstractNum w:abstractNumId="17">
    <w:multiLevelType w:val="singleLevel"/>
    <w:lvl w:ilvl="0">
      <w:start w:val="1"/>
      <w:numFmt w:val="decimal"/>
      <w:lvlText w:val="%1."/>
      <w:suff w:val="tab"/>
      <w:pPr>
        <w:tabs>
          <w:tab w:val="num" w:pos="720"/>
        </w:tabs>
        <w:ind w:left="720" w:hanging="360"/>
      </w:pPr>
    </w:lvl>
  </w:abstractNum>
  <w:num w:numId="18">
    <w:abstractNumId w:val="17"/>
  </w:num>
  <w:abstractNum w:abstractNumId="18">
    <w:multiLevelType w:val="singleLevel"/>
    <w:lvl w:ilvl="0">
      <w:start w:val="1"/>
      <w:numFmt w:val="decimal"/>
      <w:lvlText w:val="%1."/>
      <w:suff w:val="tab"/>
      <w:pPr>
        <w:tabs>
          <w:tab w:val="num" w:pos="720"/>
        </w:tabs>
        <w:ind w:left="720" w:hanging="360"/>
      </w:pPr>
    </w:lvl>
  </w:abstractNum>
  <w:num w:numId="19">
    <w:abstractNumId w:val="18"/>
  </w:num>
  <w:abstractNum w:abstractNumId="19">
    <w:multiLevelType w:val="singleLevel"/>
    <w:lvl w:ilvl="0">
      <w:start w:val="1"/>
      <w:numFmt w:val="decimal"/>
      <w:lvlText w:val="%1."/>
      <w:suff w:val="tab"/>
      <w:pPr>
        <w:tabs>
          <w:tab w:val="num" w:pos="720"/>
        </w:tabs>
        <w:ind w:left="720" w:hanging="360"/>
      </w:pPr>
    </w:lvl>
  </w:abstractNum>
  <w:num w:numId="20">
    <w:abstractNumId w:val="19"/>
  </w:num>
  <w:abstractNum w:abstractNumId="20">
    <w:multiLevelType w:val="singleLevel"/>
    <w:lvl w:ilvl="0">
      <w:start w:val="1"/>
      <w:numFmt w:val="decimal"/>
      <w:lvlText w:val="%1."/>
      <w:suff w:val="tab"/>
      <w:pPr>
        <w:tabs>
          <w:tab w:val="num" w:pos="720"/>
        </w:tabs>
        <w:ind w:left="720" w:hanging="360"/>
      </w:pPr>
    </w:lvl>
  </w:abstractNum>
  <w:num w:numId="21">
    <w:abstractNumId w:val="20"/>
  </w:num>
  <w:abstractNum w:abstractNumId="21">
    <w:multiLevelType w:val="singleLevel"/>
    <w:lvl w:ilvl="0">
      <w:start w:val="1"/>
      <w:numFmt w:val="decimal"/>
      <w:lvlText w:val="%1."/>
      <w:suff w:val="tab"/>
      <w:pPr>
        <w:tabs>
          <w:tab w:val="num" w:pos="720"/>
        </w:tabs>
        <w:ind w:left="720" w:hanging="360"/>
      </w:pPr>
    </w:lvl>
  </w:abstractNum>
  <w:num w:numId="22">
    <w:abstractNumId w:val="21"/>
  </w:num>
  <w:abstractNum w:abstractNumId="22">
    <w:multiLevelType w:val="singleLevel"/>
    <w:lvl w:ilvl="0">
      <w:start w:val="1"/>
      <w:numFmt w:val="decimal"/>
      <w:lvlText w:val="%1."/>
      <w:suff w:val="tab"/>
      <w:pPr>
        <w:tabs>
          <w:tab w:val="num" w:pos="720"/>
        </w:tabs>
        <w:ind w:left="720" w:hanging="360"/>
      </w:pPr>
    </w:lvl>
  </w:abstractNum>
  <w:num w:numId="23">
    <w:abstractNumId w:val="22"/>
  </w:num>
  <w:abstractNum w:abstractNumId="23">
    <w:multiLevelType w:val="singleLevel"/>
    <w:lvl w:ilvl="0">
      <w:start w:val="1"/>
      <w:numFmt w:val="decimal"/>
      <w:lvlText w:val="%1."/>
      <w:suff w:val="tab"/>
      <w:pPr>
        <w:tabs>
          <w:tab w:val="num" w:pos="720"/>
        </w:tabs>
        <w:ind w:left="720" w:hanging="360"/>
      </w:pPr>
    </w:lvl>
  </w:abstractNum>
  <w:num w:numId="24">
    <w:abstractNumId w:val="23"/>
  </w:num>
  <w:abstractNum w:abstractNumId="24">
    <w:multiLevelType w:val="singleLevel"/>
    <w:lvl w:ilvl="0">
      <w:start w:val="1"/>
      <w:numFmt w:val="decimal"/>
      <w:lvlText w:val="%1."/>
      <w:suff w:val="tab"/>
      <w:pPr>
        <w:tabs>
          <w:tab w:val="num" w:pos="720"/>
        </w:tabs>
        <w:ind w:left="720" w:hanging="360"/>
      </w:pPr>
    </w:lvl>
  </w:abstractNum>
  <w:num w:numId="25">
    <w:abstractNumId w:val="24"/>
  </w:num>
  <w:abstractNum w:abstractNumId="25">
    <w:multiLevelType w:val="singleLevel"/>
    <w:lvl w:ilvl="0">
      <w:start w:val="1"/>
      <w:numFmt w:val="decimal"/>
      <w:lvlText w:val="%1."/>
      <w:suff w:val="tab"/>
      <w:pPr>
        <w:tabs>
          <w:tab w:val="num" w:pos="720"/>
        </w:tabs>
        <w:ind w:left="720" w:hanging="360"/>
      </w:pPr>
    </w:lvl>
  </w:abstractNum>
  <w:num w:numId="26">
    <w:abstractNumId w:val="25"/>
  </w:num>
  <w:abstractNum w:abstractNumId="26">
    <w:multiLevelType w:val="singleLevel"/>
    <w:lvl w:ilvl="0">
      <w:start w:val="1"/>
      <w:numFmt w:val="decimal"/>
      <w:lvlText w:val="%1."/>
      <w:suff w:val="tab"/>
      <w:pPr>
        <w:tabs>
          <w:tab w:val="num" w:pos="720"/>
        </w:tabs>
        <w:ind w:left="720" w:hanging="360"/>
      </w:pPr>
    </w:lvl>
  </w:abstractNum>
  <w:num w:numId="27">
    <w:abstractNumId w:val="26"/>
  </w:num>
  <w:abstractNum w:abstractNumId="27">
    <w:multiLevelType w:val="singleLevel"/>
    <w:lvl w:ilvl="0">
      <w:start w:val="1"/>
      <w:numFmt w:val="decimal"/>
      <w:lvlText w:val="%1."/>
      <w:suff w:val="tab"/>
      <w:pPr>
        <w:tabs>
          <w:tab w:val="num" w:pos="720"/>
        </w:tabs>
        <w:ind w:left="720" w:hanging="360"/>
      </w:pPr>
    </w:lvl>
  </w:abstractNum>
  <w:num w:numId="28">
    <w:abstractNumId w:val="27"/>
  </w:num>
  <w:abstractNum w:abstractNumId="28">
    <w:multiLevelType w:val="singleLevel"/>
    <w:lvl w:ilvl="0">
      <w:start w:val="1"/>
      <w:numFmt w:val="decimal"/>
      <w:lvlText w:val="%1."/>
      <w:suff w:val="tab"/>
      <w:pPr>
        <w:tabs>
          <w:tab w:val="num" w:pos="720"/>
        </w:tabs>
        <w:ind w:left="720" w:hanging="360"/>
      </w:pPr>
    </w:lvl>
  </w:abstractNum>
  <w:num w:numId="29">
    <w:abstractNumId w:val="28"/>
  </w:num>
  <w:abstractNum w:abstractNumId="29">
    <w:multiLevelType w:val="singleLevel"/>
    <w:lvl w:ilvl="0">
      <w:start w:val="1"/>
      <w:numFmt w:val="bullet"/>
      <w:lvlText w:val="•"/>
      <w:suff w:val="tab"/>
      <w:pPr>
        <w:tabs>
          <w:tab w:val="num" w:pos="1080"/>
        </w:tabs>
        <w:ind w:left="1080" w:hanging="360"/>
      </w:pPr>
    </w:lvl>
  </w:abstractNum>
  <w:num w:numId="30">
    <w:abstractNumId w:val="29"/>
  </w:num>
  <w:abstractNum w:abstractNumId="30">
    <w:multiLevelType w:val="singleLevel"/>
    <w:lvl w:ilvl="0">
      <w:start w:val="1"/>
      <w:numFmt w:val="decimal"/>
      <w:lvlText w:val="%1."/>
      <w:suff w:val="tab"/>
      <w:pPr>
        <w:tabs>
          <w:tab w:val="num" w:pos="720"/>
        </w:tabs>
        <w:ind w:left="720" w:hanging="360"/>
      </w:pPr>
    </w:lvl>
  </w:abstractNum>
  <w:num w:numId="31">
    <w:abstractNumId w:val="30"/>
  </w:num>
  <w:abstractNum w:abstractNumId="31">
    <w:multiLevelType w:val="singleLevel"/>
    <w:lvl w:ilvl="0">
      <w:start w:val="1"/>
      <w:numFmt w:val="decimal"/>
      <w:lvlText w:val="%1."/>
      <w:suff w:val="tab"/>
      <w:pPr>
        <w:tabs>
          <w:tab w:val="num" w:pos="720"/>
        </w:tabs>
        <w:ind w:left="720" w:hanging="360"/>
      </w:pPr>
    </w:lvl>
  </w:abstractNum>
  <w:num w:numId="32">
    <w:abstractNumId w:val="31"/>
  </w:num>
  <w:abstractNum w:abstractNumId="32">
    <w:multiLevelType w:val="singleLevel"/>
    <w:lvl w:ilvl="0">
      <w:start w:val="1"/>
      <w:numFmt w:val="decimal"/>
      <w:lvlText w:val="%1."/>
      <w:suff w:val="tab"/>
      <w:pPr>
        <w:tabs>
          <w:tab w:val="num" w:pos="720"/>
        </w:tabs>
        <w:ind w:left="720" w:hanging="360"/>
      </w:pPr>
    </w:lvl>
  </w:abstractNum>
  <w:num w:numId="33">
    <w:abstractNumId w:val="32"/>
  </w:num>
  <w:abstractNum w:abstractNumId="33">
    <w:multiLevelType w:val="singleLevel"/>
    <w:lvl w:ilvl="0">
      <w:start w:val="1"/>
      <w:numFmt w:val="decimal"/>
      <w:lvlText w:val="%1."/>
      <w:suff w:val="tab"/>
      <w:pPr>
        <w:tabs>
          <w:tab w:val="num" w:pos="720"/>
        </w:tabs>
        <w:ind w:left="720" w:hanging="360"/>
      </w:pPr>
    </w:lvl>
  </w:abstractNum>
  <w:num w:numId="34">
    <w:abstractNumId w:val="33"/>
  </w:num>
  <w:abstractNum w:abstractNumId="34">
    <w:multiLevelType w:val="singleLevel"/>
    <w:lvl w:ilvl="0">
      <w:start w:val="1"/>
      <w:numFmt w:val="decimal"/>
      <w:lvlText w:val="%1."/>
      <w:suff w:val="tab"/>
      <w:pPr>
        <w:tabs>
          <w:tab w:val="num" w:pos="720"/>
        </w:tabs>
        <w:ind w:left="720" w:hanging="360"/>
      </w:pPr>
    </w:lvl>
  </w:abstractNum>
  <w:num w:numId="35">
    <w:abstractNumId w:val="34"/>
  </w:num>
  <w:abstractNum w:abstractNumId="35">
    <w:multiLevelType w:val="singleLevel"/>
    <w:lvl w:ilvl="0">
      <w:start w:val="1"/>
      <w:numFmt w:val="decimal"/>
      <w:lvlText w:val="%1."/>
      <w:suff w:val="tab"/>
      <w:pPr>
        <w:tabs>
          <w:tab w:val="num" w:pos="720"/>
        </w:tabs>
        <w:ind w:left="720" w:hanging="360"/>
      </w:pPr>
    </w:lvl>
  </w:abstractNum>
  <w:num w:numId="36">
    <w:abstractNumId w:val="35"/>
  </w:num>
  <w:abstractNum w:abstractNumId="36">
    <w:multiLevelType w:val="singleLevel"/>
    <w:lvl w:ilvl="0">
      <w:start w:val="1"/>
      <w:numFmt w:val="decimal"/>
      <w:lvlText w:val="%1."/>
      <w:suff w:val="tab"/>
      <w:pPr>
        <w:tabs>
          <w:tab w:val="num" w:pos="720"/>
        </w:tabs>
        <w:ind w:left="720" w:hanging="360"/>
      </w:pPr>
    </w:lvl>
  </w:abstractNum>
  <w:num w:numId="37">
    <w:abstractNumId w:val="36"/>
  </w:num>
  <w:abstractNum w:abstractNumId="37">
    <w:multiLevelType w:val="singleLevel"/>
    <w:lvl w:ilvl="0">
      <w:start w:val="1"/>
      <w:numFmt w:val="bullet"/>
      <w:lvlText w:val="•"/>
      <w:suff w:val="tab"/>
      <w:pPr>
        <w:tabs>
          <w:tab w:val="num" w:pos="1080"/>
        </w:tabs>
        <w:ind w:left="1080" w:hanging="360"/>
      </w:pPr>
    </w:lvl>
  </w:abstract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jc w:val="left"/>
    </w:pPr>
    <w:rPr>
      <w:rFonts w:ascii="Calibri" w:hAnsi="Calibri" w:eastAsia="Calibri"/>
      <w:color w:val="2026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280" w:line="240" w:lineRule="auto" w:before="0"/>
      <w:contextualSpacing/>
    </w:pPr>
    <w:rPr>
      <w:rFonts w:asciiTheme="majorHAnsi" w:eastAsiaTheme="majorEastAsia" w:hAnsiTheme="majorHAnsi" w:cstheme="majorBidi" w:ascii="Calibri" w:hAnsi="Calibri" w:eastAsia="Calibri"/>
      <w:b/>
      <w:color w:val="17365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gulationClause">
    <w:name w:val="Regulation Clause"/>
    <w:basedOn w:val="Normal"/>
    <w:pPr>
      <w:spacing w:after="140" w:line="269" w:lineRule="auto"/>
      <w:ind w:left="720" w:hanging="360"/>
    </w:pPr>
    <w:rPr>
      <w:rFonts w:ascii="Calibri" w:hAnsi="Calibri"/>
      <w:sz w:val="21"/>
    </w:rPr>
  </w:style>
  <w:style w:type="paragraph" w:customStyle="1" w:styleId="RegulationBullet">
    <w:name w:val="Regulation Bullet"/>
    <w:basedOn w:val="Normal"/>
    <w:pPr>
      <w:spacing w:after="80" w:line="259" w:lineRule="auto"/>
      <w:ind w:left="1080" w:hanging="360"/>
    </w:pPr>
    <w:rPr>
      <w:rFonts w:ascii="Calibri" w:hAnsi="Calibri"/>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oi.edu.pl/l/28oi_regulamin/" TargetMode="External"/><Relationship Id="rId14" Type="http://schemas.openxmlformats.org/officeDocument/2006/relationships/hyperlink" Target="https://eli.gov.pl/api/acts/DU/2020/1036/text.html" TargetMode="External"/><Relationship Id="rId15" Type="http://schemas.openxmlformats.org/officeDocument/2006/relationships/hyperlink" Target="https://www.gov.pl/web/edukacja/otwarty-konkurs-ofert-na-realizacje-zadania-publicznego-pn-organizacja-i-przeprowadzenie-olimpiad-przedmiotowych-i-interdyscyplinarnych-w-latach-szkolnych-20252026-20262027-20272028" TargetMode="External"/><Relationship Id="rId16" Type="http://schemas.openxmlformats.org/officeDocument/2006/relationships/hyperlink" Target="https://www.qaif.org/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Olimpiady Kwantowej</dc:title>
  <dc:subject>Ogólnopolski, dwuetapowy konkurs edukacyjny</dc:subject>
  <dc:creator>Fundacja Quantum AI</dc:creator>
  <cp:keywords>Olimpiada Kwantowa, regulamin, Quantum AI, konkurs edukacyjny</cp:keywords>
  <dc:description>Projekt do zatwierdzenia uchwałą Zarządu Fundacji Quantum AI</dc:description>
  <cp:lastModifiedBy/>
  <cp:revision>1</cp:revision>
  <dcterms:created xsi:type="dcterms:W3CDTF">2013-12-23T23:15:00Z</dcterms:created>
  <dcterms:modified xsi:type="dcterms:W3CDTF">2013-12-23T23:15:00Z</dcterms:modified>
  <cp:category/>
</cp:coreProperties>
</file>